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FC8" w:rsidRPr="00305278" w:rsidRDefault="00932FC8" w:rsidP="00932FC8">
      <w:pPr>
        <w:spacing w:after="0" w:line="240" w:lineRule="auto"/>
        <w:jc w:val="center"/>
        <w:rPr>
          <w:rFonts w:ascii="Times New Roman" w:hAnsi="Times New Roman" w:cs="Times New Roman"/>
          <w:b/>
          <w:sz w:val="28"/>
          <w:szCs w:val="28"/>
        </w:rPr>
      </w:pPr>
      <w:r w:rsidRPr="00305278">
        <w:rPr>
          <w:rFonts w:ascii="Times New Roman" w:hAnsi="Times New Roman" w:cs="Times New Roman"/>
          <w:b/>
          <w:sz w:val="28"/>
          <w:szCs w:val="28"/>
        </w:rPr>
        <w:t>SẢN PHẨM THUỐC LÁ LÀM NÓNG</w:t>
      </w:r>
      <w:r w:rsidR="00827CFC" w:rsidRPr="00305278">
        <w:rPr>
          <w:rFonts w:ascii="Times New Roman" w:hAnsi="Times New Roman" w:cs="Times New Roman"/>
          <w:b/>
          <w:sz w:val="28"/>
          <w:szCs w:val="28"/>
        </w:rPr>
        <w:t xml:space="preserve"> (</w:t>
      </w:r>
      <w:r w:rsidR="00827CFC" w:rsidRPr="00305278">
        <w:rPr>
          <w:rFonts w:ascii="Times New Roman" w:hAnsi="Times New Roman" w:cs="Times New Roman"/>
          <w:b/>
          <w:bCs/>
          <w:sz w:val="28"/>
          <w:szCs w:val="28"/>
        </w:rPr>
        <w:t>HTP</w:t>
      </w:r>
      <w:r w:rsidR="00305278">
        <w:rPr>
          <w:rFonts w:ascii="Times New Roman" w:hAnsi="Times New Roman" w:cs="Times New Roman"/>
          <w:b/>
          <w:bCs/>
          <w:sz w:val="28"/>
          <w:szCs w:val="28"/>
        </w:rPr>
        <w:t>s</w:t>
      </w:r>
      <w:r w:rsidR="00827CFC" w:rsidRPr="00305278">
        <w:rPr>
          <w:rFonts w:ascii="Times New Roman" w:hAnsi="Times New Roman" w:cs="Times New Roman"/>
          <w:b/>
          <w:bCs/>
          <w:sz w:val="28"/>
          <w:szCs w:val="28"/>
        </w:rPr>
        <w:t>)</w:t>
      </w:r>
    </w:p>
    <w:p w:rsidR="00932FC8" w:rsidRPr="004209DB" w:rsidRDefault="00932FC8" w:rsidP="00932FC8">
      <w:pPr>
        <w:spacing w:after="0" w:line="240" w:lineRule="auto"/>
        <w:jc w:val="center"/>
        <w:rPr>
          <w:rFonts w:ascii="Times New Roman" w:hAnsi="Times New Roman" w:cs="Times New Roman"/>
          <w:b/>
          <w:color w:val="0070C0"/>
          <w:sz w:val="28"/>
          <w:szCs w:val="28"/>
        </w:rPr>
      </w:pPr>
    </w:p>
    <w:p w:rsidR="00932FC8" w:rsidRDefault="00932FC8" w:rsidP="00827CFC">
      <w:pPr>
        <w:spacing w:after="0" w:line="240" w:lineRule="auto"/>
        <w:ind w:firstLine="720"/>
        <w:jc w:val="both"/>
        <w:rPr>
          <w:rFonts w:ascii="Times New Roman" w:hAnsi="Times New Roman" w:cs="Times New Roman"/>
          <w:sz w:val="28"/>
          <w:szCs w:val="28"/>
        </w:rPr>
      </w:pPr>
      <w:r w:rsidRPr="004209DB">
        <w:rPr>
          <w:rFonts w:ascii="Times New Roman" w:hAnsi="Times New Roman" w:cs="Times New Roman"/>
          <w:sz w:val="28"/>
          <w:szCs w:val="28"/>
        </w:rPr>
        <w:t>Thuốc lá làm nóng là sản phẩm thuốc lá làm sản sinh ra sol khí chứa nicotine với hương vị thuốc lá cho người sử dụng hít vào qua đường miệng. Thuốc lá làm nóng chứa chất gây nghiện cao nicotine (trong thuốc lá) và cũng có các chất phụ gia không phải thuốc lá có hương vị. Sử dụng nhiệt làm nóng (trực tiếp hoặc gián tiếp) sản phẩm thuốc lá (thường ở nhiệt độ trên 200 độ C).</w:t>
      </w:r>
      <w:r w:rsidRPr="004209DB">
        <w:rPr>
          <w:rStyle w:val="FootnoteReference"/>
          <w:rFonts w:ascii="Times New Roman" w:hAnsi="Times New Roman" w:cs="Times New Roman"/>
          <w:sz w:val="28"/>
          <w:szCs w:val="28"/>
        </w:rPr>
        <w:footnoteReference w:id="2"/>
      </w:r>
    </w:p>
    <w:p w:rsidR="00212017" w:rsidRPr="00212017" w:rsidRDefault="00212017" w:rsidP="00A633B3">
      <w:pPr>
        <w:spacing w:after="0" w:line="240" w:lineRule="auto"/>
        <w:ind w:firstLine="720"/>
        <w:jc w:val="both"/>
        <w:rPr>
          <w:rFonts w:ascii="Times New Roman" w:hAnsi="Times New Roman" w:cs="Times New Roman"/>
          <w:sz w:val="28"/>
          <w:szCs w:val="28"/>
        </w:rPr>
      </w:pPr>
      <w:r w:rsidRPr="002937D1">
        <w:rPr>
          <w:rFonts w:ascii="Times New Roman" w:hAnsi="Times New Roman" w:cs="Times New Roman"/>
          <w:sz w:val="28"/>
          <w:szCs w:val="28"/>
        </w:rPr>
        <w:t>Những sản phẩm này được làm nóng ở nhiệt độ thấp hơn thuốc lá đốt cháy nhưng vẫn có những thành phần giống như thuốc lá thông thường</w:t>
      </w:r>
      <w:r w:rsidR="00A633B3">
        <w:rPr>
          <w:rFonts w:ascii="Times New Roman" w:hAnsi="Times New Roman" w:cs="Times New Roman"/>
          <w:sz w:val="28"/>
          <w:szCs w:val="28"/>
        </w:rPr>
        <w:t xml:space="preserve">, bao gồm cả </w:t>
      </w:r>
      <w:r w:rsidR="002937D1" w:rsidRPr="002937D1">
        <w:rPr>
          <w:rFonts w:ascii="Times New Roman" w:hAnsi="Times New Roman" w:cs="Times New Roman"/>
          <w:sz w:val="28"/>
          <w:szCs w:val="28"/>
        </w:rPr>
        <w:t>các chất gây ung thư và các chất độc gây bệnh tim mạch và hô hấp</w:t>
      </w:r>
    </w:p>
    <w:p w:rsidR="002937D1" w:rsidRPr="004209DB" w:rsidRDefault="002937D1" w:rsidP="00932FC8">
      <w:pPr>
        <w:spacing w:after="0" w:line="240" w:lineRule="auto"/>
        <w:jc w:val="both"/>
        <w:rPr>
          <w:rFonts w:ascii="Times New Roman" w:hAnsi="Times New Roman" w:cs="Times New Roman"/>
          <w:sz w:val="28"/>
          <w:szCs w:val="28"/>
        </w:rPr>
      </w:pPr>
    </w:p>
    <w:p w:rsidR="00932FC8" w:rsidRPr="004209DB" w:rsidRDefault="00932FC8" w:rsidP="00932FC8">
      <w:pPr>
        <w:spacing w:after="0" w:line="240" w:lineRule="auto"/>
        <w:jc w:val="both"/>
        <w:rPr>
          <w:rFonts w:ascii="Times New Roman" w:hAnsi="Times New Roman" w:cs="Times New Roman"/>
          <w:b/>
          <w:sz w:val="28"/>
          <w:szCs w:val="28"/>
        </w:rPr>
      </w:pPr>
      <w:r w:rsidRPr="004209DB">
        <w:rPr>
          <w:rFonts w:ascii="Times New Roman" w:hAnsi="Times New Roman" w:cs="Times New Roman"/>
          <w:b/>
          <w:sz w:val="28"/>
          <w:szCs w:val="28"/>
        </w:rPr>
        <w:t>Tác hại của thuốc lá làm nóng</w:t>
      </w:r>
    </w:p>
    <w:p w:rsidR="00305278" w:rsidRDefault="00932FC8" w:rsidP="00305278">
      <w:pPr>
        <w:spacing w:after="0" w:line="240" w:lineRule="auto"/>
        <w:ind w:firstLine="720"/>
        <w:jc w:val="both"/>
        <w:rPr>
          <w:rFonts w:ascii="Times New Roman" w:hAnsi="Times New Roman" w:cs="Times New Roman"/>
          <w:sz w:val="28"/>
          <w:szCs w:val="28"/>
        </w:rPr>
      </w:pPr>
      <w:r w:rsidRPr="004209DB">
        <w:rPr>
          <w:rFonts w:ascii="Times New Roman" w:hAnsi="Times New Roman" w:cs="Times New Roman"/>
          <w:sz w:val="28"/>
          <w:szCs w:val="28"/>
        </w:rPr>
        <w:t>Hiện tại, không có bằng chứng nào chứng minh rằng thuốc lá làm nóng</w:t>
      </w:r>
      <w:r w:rsidR="00305278">
        <w:rPr>
          <w:rFonts w:ascii="Times New Roman" w:hAnsi="Times New Roman" w:cs="Times New Roman"/>
          <w:sz w:val="28"/>
          <w:szCs w:val="28"/>
        </w:rPr>
        <w:t xml:space="preserve"> là sản phẩm ít có hại cho người hút</w:t>
      </w:r>
      <w:r w:rsidRPr="004209DB">
        <w:rPr>
          <w:rFonts w:ascii="Times New Roman" w:hAnsi="Times New Roman" w:cs="Times New Roman"/>
          <w:sz w:val="28"/>
          <w:szCs w:val="28"/>
        </w:rPr>
        <w:t xml:space="preserve">. </w:t>
      </w:r>
      <w:r w:rsidR="00305278">
        <w:rPr>
          <w:rFonts w:ascii="Times New Roman" w:hAnsi="Times New Roman" w:cs="Times New Roman"/>
          <w:sz w:val="28"/>
          <w:szCs w:val="28"/>
        </w:rPr>
        <w:t xml:space="preserve"> Theo tài liệu của Liên minh Phòng chống tác hại thuốc lá Đông Nam Á (SEATCA), </w:t>
      </w:r>
      <w:r w:rsidR="00975A70" w:rsidRPr="00212017">
        <w:rPr>
          <w:rFonts w:ascii="Times New Roman" w:hAnsi="Times New Roman" w:cs="Times New Roman"/>
          <w:sz w:val="28"/>
          <w:szCs w:val="28"/>
          <w:lang w:val="vi-VN"/>
        </w:rPr>
        <w:t>H</w:t>
      </w:r>
      <w:r w:rsidR="00975A70" w:rsidRPr="00212017">
        <w:rPr>
          <w:rFonts w:ascii="Times New Roman" w:hAnsi="Times New Roman" w:cs="Times New Roman"/>
          <w:sz w:val="28"/>
          <w:szCs w:val="28"/>
          <w:lang w:val="vi-VN"/>
        </w:rPr>
        <w:t>ộ</w:t>
      </w:r>
      <w:r w:rsidR="00975A70" w:rsidRPr="00212017">
        <w:rPr>
          <w:rFonts w:ascii="Times New Roman" w:hAnsi="Times New Roman" w:cs="Times New Roman"/>
          <w:sz w:val="28"/>
          <w:szCs w:val="28"/>
          <w:lang w:val="vi-VN"/>
        </w:rPr>
        <w:t>i đ</w:t>
      </w:r>
      <w:r w:rsidR="00975A70" w:rsidRPr="00212017">
        <w:rPr>
          <w:rFonts w:ascii="Times New Roman" w:hAnsi="Times New Roman" w:cs="Times New Roman"/>
          <w:sz w:val="28"/>
          <w:szCs w:val="28"/>
          <w:lang w:val="vi-VN"/>
        </w:rPr>
        <w:t>ồ</w:t>
      </w:r>
      <w:r w:rsidR="00975A70" w:rsidRPr="00212017">
        <w:rPr>
          <w:rFonts w:ascii="Times New Roman" w:hAnsi="Times New Roman" w:cs="Times New Roman"/>
          <w:sz w:val="28"/>
          <w:szCs w:val="28"/>
          <w:lang w:val="vi-VN"/>
        </w:rPr>
        <w:t xml:space="preserve">ng </w:t>
      </w:r>
      <w:r w:rsidR="00305278">
        <w:rPr>
          <w:rFonts w:ascii="Times New Roman" w:hAnsi="Times New Roman" w:cs="Times New Roman"/>
          <w:sz w:val="28"/>
          <w:szCs w:val="28"/>
        </w:rPr>
        <w:t>Công ty dược phẩm và thực phẩm Hoa kỳ (</w:t>
      </w:r>
      <w:r w:rsidR="00975A70" w:rsidRPr="00212017">
        <w:rPr>
          <w:rFonts w:ascii="Times New Roman" w:hAnsi="Times New Roman" w:cs="Times New Roman"/>
          <w:sz w:val="28"/>
          <w:szCs w:val="28"/>
          <w:lang w:val="vi-VN"/>
        </w:rPr>
        <w:t>FDA</w:t>
      </w:r>
      <w:r w:rsidR="00305278">
        <w:rPr>
          <w:rFonts w:ascii="Times New Roman" w:hAnsi="Times New Roman" w:cs="Times New Roman"/>
          <w:sz w:val="28"/>
          <w:szCs w:val="28"/>
        </w:rPr>
        <w:t xml:space="preserve">) đã </w:t>
      </w:r>
      <w:r w:rsidR="00975A70" w:rsidRPr="00212017">
        <w:rPr>
          <w:rFonts w:ascii="Times New Roman" w:hAnsi="Times New Roman" w:cs="Times New Roman"/>
          <w:sz w:val="28"/>
          <w:szCs w:val="28"/>
          <w:lang w:val="vi-VN"/>
        </w:rPr>
        <w:t>bác b</w:t>
      </w:r>
      <w:r w:rsidR="00975A70" w:rsidRPr="00212017">
        <w:rPr>
          <w:rFonts w:ascii="Times New Roman" w:hAnsi="Times New Roman" w:cs="Times New Roman"/>
          <w:sz w:val="28"/>
          <w:szCs w:val="28"/>
          <w:lang w:val="vi-VN"/>
        </w:rPr>
        <w:t>ỏ</w:t>
      </w:r>
      <w:r w:rsidR="00975A70" w:rsidRPr="00212017">
        <w:rPr>
          <w:rFonts w:ascii="Times New Roman" w:hAnsi="Times New Roman" w:cs="Times New Roman"/>
          <w:sz w:val="28"/>
          <w:szCs w:val="28"/>
          <w:lang w:val="vi-VN"/>
        </w:rPr>
        <w:t xml:space="preserve"> tuyên b</w:t>
      </w:r>
      <w:r w:rsidR="00975A70" w:rsidRPr="00212017">
        <w:rPr>
          <w:rFonts w:ascii="Times New Roman" w:hAnsi="Times New Roman" w:cs="Times New Roman"/>
          <w:sz w:val="28"/>
          <w:szCs w:val="28"/>
          <w:lang w:val="vi-VN"/>
        </w:rPr>
        <w:t>ố</w:t>
      </w:r>
      <w:r w:rsidR="00975A70" w:rsidRPr="00212017">
        <w:rPr>
          <w:rFonts w:ascii="Times New Roman" w:hAnsi="Times New Roman" w:cs="Times New Roman"/>
          <w:sz w:val="28"/>
          <w:szCs w:val="28"/>
          <w:lang w:val="vi-VN"/>
        </w:rPr>
        <w:t xml:space="preserve"> </w:t>
      </w:r>
      <w:r w:rsidR="00975A70" w:rsidRPr="00212017">
        <w:rPr>
          <w:rFonts w:ascii="Times New Roman" w:hAnsi="Times New Roman" w:cs="Times New Roman"/>
          <w:sz w:val="28"/>
          <w:szCs w:val="28"/>
        </w:rPr>
        <w:t>c</w:t>
      </w:r>
      <w:r w:rsidR="00975A70" w:rsidRPr="00212017">
        <w:rPr>
          <w:rFonts w:ascii="Times New Roman" w:hAnsi="Times New Roman" w:cs="Times New Roman"/>
          <w:sz w:val="28"/>
          <w:szCs w:val="28"/>
        </w:rPr>
        <w:t>ủ</w:t>
      </w:r>
      <w:r w:rsidR="00975A70" w:rsidRPr="00212017">
        <w:rPr>
          <w:rFonts w:ascii="Times New Roman" w:hAnsi="Times New Roman" w:cs="Times New Roman"/>
          <w:sz w:val="28"/>
          <w:szCs w:val="28"/>
        </w:rPr>
        <w:t>a</w:t>
      </w:r>
      <w:r w:rsidR="00305278">
        <w:rPr>
          <w:rFonts w:ascii="Times New Roman" w:hAnsi="Times New Roman" w:cs="Times New Roman"/>
          <w:sz w:val="28"/>
          <w:szCs w:val="28"/>
        </w:rPr>
        <w:t xml:space="preserve"> tập đoàn thuốc lá Philipmorris (</w:t>
      </w:r>
      <w:r w:rsidR="00975A70" w:rsidRPr="00212017">
        <w:rPr>
          <w:rFonts w:ascii="Times New Roman" w:hAnsi="Times New Roman" w:cs="Times New Roman"/>
          <w:sz w:val="28"/>
          <w:szCs w:val="28"/>
          <w:lang w:val="vi-VN"/>
        </w:rPr>
        <w:t>PMI</w:t>
      </w:r>
      <w:r w:rsidR="00305278">
        <w:rPr>
          <w:rFonts w:ascii="Times New Roman" w:hAnsi="Times New Roman" w:cs="Times New Roman"/>
          <w:sz w:val="28"/>
          <w:szCs w:val="28"/>
        </w:rPr>
        <w:t>)</w:t>
      </w:r>
      <w:r w:rsidR="00975A70" w:rsidRPr="00212017">
        <w:rPr>
          <w:rFonts w:ascii="Times New Roman" w:hAnsi="Times New Roman" w:cs="Times New Roman"/>
          <w:sz w:val="28"/>
          <w:szCs w:val="28"/>
          <w:lang w:val="vi-VN"/>
        </w:rPr>
        <w:t xml:space="preserve"> v</w:t>
      </w:r>
      <w:r w:rsidR="00975A70" w:rsidRPr="00212017">
        <w:rPr>
          <w:rFonts w:ascii="Times New Roman" w:hAnsi="Times New Roman" w:cs="Times New Roman"/>
          <w:sz w:val="28"/>
          <w:szCs w:val="28"/>
          <w:lang w:val="vi-VN"/>
        </w:rPr>
        <w:t>ề</w:t>
      </w:r>
      <w:r w:rsidR="00975A70" w:rsidRPr="00212017">
        <w:rPr>
          <w:rFonts w:ascii="Times New Roman" w:hAnsi="Times New Roman" w:cs="Times New Roman"/>
          <w:sz w:val="28"/>
          <w:szCs w:val="28"/>
          <w:lang w:val="vi-VN"/>
        </w:rPr>
        <w:t xml:space="preserve"> vi</w:t>
      </w:r>
      <w:r w:rsidR="00975A70" w:rsidRPr="00212017">
        <w:rPr>
          <w:rFonts w:ascii="Times New Roman" w:hAnsi="Times New Roman" w:cs="Times New Roman"/>
          <w:sz w:val="28"/>
          <w:szCs w:val="28"/>
          <w:lang w:val="vi-VN"/>
        </w:rPr>
        <w:t>ệ</w:t>
      </w:r>
      <w:r w:rsidR="00975A70" w:rsidRPr="00212017">
        <w:rPr>
          <w:rFonts w:ascii="Times New Roman" w:hAnsi="Times New Roman" w:cs="Times New Roman"/>
          <w:sz w:val="28"/>
          <w:szCs w:val="28"/>
          <w:lang w:val="vi-VN"/>
        </w:rPr>
        <w:t xml:space="preserve">c </w:t>
      </w:r>
      <w:r w:rsidR="00305278">
        <w:rPr>
          <w:rFonts w:ascii="Times New Roman" w:hAnsi="Times New Roman" w:cs="Times New Roman"/>
          <w:sz w:val="28"/>
          <w:szCs w:val="28"/>
        </w:rPr>
        <w:t xml:space="preserve">thuốc lá làm nóng là sản phẩm ít có hại cho người hút thuốc. </w:t>
      </w:r>
    </w:p>
    <w:p w:rsidR="00932FC8" w:rsidRPr="00305278" w:rsidRDefault="00305278" w:rsidP="00932F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932FC8" w:rsidRPr="004209DB" w:rsidRDefault="00932FC8" w:rsidP="00932FC8">
      <w:pPr>
        <w:spacing w:after="0" w:line="240" w:lineRule="auto"/>
        <w:jc w:val="both"/>
        <w:rPr>
          <w:rFonts w:ascii="Times New Roman" w:hAnsi="Times New Roman" w:cs="Times New Roman"/>
          <w:b/>
          <w:sz w:val="28"/>
          <w:szCs w:val="28"/>
        </w:rPr>
      </w:pPr>
      <w:r w:rsidRPr="004209DB">
        <w:rPr>
          <w:rFonts w:ascii="Times New Roman" w:hAnsi="Times New Roman" w:cs="Times New Roman"/>
          <w:b/>
          <w:sz w:val="28"/>
          <w:szCs w:val="28"/>
        </w:rPr>
        <w:t>Quản lý của các nước trên thế giới đối với thuốc lá làm nóng:</w:t>
      </w:r>
    </w:p>
    <w:p w:rsidR="00932FC8" w:rsidRDefault="00932FC8" w:rsidP="00827CFC">
      <w:pPr>
        <w:spacing w:after="0" w:line="240" w:lineRule="auto"/>
        <w:ind w:firstLine="720"/>
        <w:jc w:val="both"/>
        <w:rPr>
          <w:rFonts w:ascii="Times New Roman" w:eastAsia="Calibri" w:hAnsi="Times New Roman" w:cs="Times New Roman"/>
          <w:bCs/>
          <w:sz w:val="28"/>
          <w:szCs w:val="28"/>
          <w:lang w:val="en-GB"/>
        </w:rPr>
      </w:pPr>
      <w:r w:rsidRPr="004209DB">
        <w:rPr>
          <w:rFonts w:ascii="Times New Roman" w:hAnsi="Times New Roman" w:cs="Times New Roman"/>
          <w:sz w:val="28"/>
          <w:szCs w:val="28"/>
        </w:rPr>
        <w:t>Tổ chức Y tế thế giới khuyến cáo tất cả các loại thuốc lá đều độc hại, bao gồm cả thuốc lá làm nóng. Tổ chức Y tế thế giới (WHO) khuyến nghị đối với thuốc lá làm nóng phải tuân thủ các biện pháp chính sách và quy định áp dụng cho tất cả các sản phẩm thuốc lá khác, phù hợp với Công ước Khung về Phòng chống tác hại thuốc lá (WHO FCTC). Tại cuộc họp các bên tham gia Công ước khung lần thứ 8 đưa ra các khuyến nghị về các sản phẩm thuốc lá mới, trong đó có nêu“n</w:t>
      </w:r>
      <w:r w:rsidRPr="004209DB">
        <w:rPr>
          <w:rFonts w:ascii="Times New Roman" w:eastAsia="Calibri" w:hAnsi="Times New Roman" w:cs="Times New Roman"/>
          <w:bCs/>
          <w:sz w:val="28"/>
          <w:szCs w:val="28"/>
          <w:lang w:val="en-GB"/>
        </w:rPr>
        <w:t xml:space="preserve">găn chặn sự khởi đầu của các sản phẩm thuốc lá mới” là một trong nhưng </w:t>
      </w:r>
      <w:r w:rsidRPr="004209DB">
        <w:rPr>
          <w:rFonts w:ascii="Times New Roman" w:hAnsi="Times New Roman" w:cs="Times New Roman"/>
          <w:sz w:val="28"/>
          <w:szCs w:val="28"/>
        </w:rPr>
        <w:t>giải pháp ưu tiênđối với các nước</w:t>
      </w:r>
      <w:r w:rsidRPr="004209DB">
        <w:rPr>
          <w:rFonts w:ascii="Times New Roman" w:eastAsia="Calibri" w:hAnsi="Times New Roman" w:cs="Times New Roman"/>
          <w:bCs/>
          <w:sz w:val="28"/>
          <w:szCs w:val="28"/>
          <w:lang w:val="en-GB"/>
        </w:rPr>
        <w:t>.</w:t>
      </w:r>
      <w:r w:rsidRPr="004209DB">
        <w:rPr>
          <w:rStyle w:val="FootnoteReference"/>
          <w:rFonts w:ascii="Times New Roman" w:eastAsia="Calibri" w:hAnsi="Times New Roman" w:cs="Times New Roman"/>
          <w:bCs/>
          <w:sz w:val="28"/>
          <w:szCs w:val="28"/>
          <w:lang w:val="en-GB"/>
        </w:rPr>
        <w:footnoteReference w:id="3"/>
      </w:r>
    </w:p>
    <w:p w:rsidR="00932FC8" w:rsidRPr="004209DB" w:rsidRDefault="00932FC8" w:rsidP="00827CFC">
      <w:pPr>
        <w:spacing w:after="0" w:line="240" w:lineRule="auto"/>
        <w:ind w:firstLine="360"/>
        <w:jc w:val="both"/>
        <w:rPr>
          <w:rFonts w:ascii="Times New Roman" w:hAnsi="Times New Roman" w:cs="Times New Roman"/>
          <w:sz w:val="28"/>
          <w:szCs w:val="28"/>
        </w:rPr>
      </w:pPr>
      <w:r w:rsidRPr="004209DB">
        <w:rPr>
          <w:rFonts w:ascii="Times New Roman" w:hAnsi="Times New Roman" w:cs="Times New Roman"/>
          <w:sz w:val="28"/>
          <w:szCs w:val="28"/>
        </w:rPr>
        <w:t>Báo cáo tổng hợp của Viện kiểm soát thuốc lá toàn cầu trong số 55 quốc gia có thông tin có 42 quốc gia có quy định cấm hoặc quản lý ở các khía cạnh khác nhau:</w:t>
      </w:r>
      <w:r w:rsidRPr="004209DB">
        <w:rPr>
          <w:rStyle w:val="FootnoteReference"/>
          <w:rFonts w:ascii="Times New Roman" w:hAnsi="Times New Roman" w:cs="Times New Roman"/>
          <w:sz w:val="28"/>
          <w:szCs w:val="28"/>
        </w:rPr>
        <w:footnoteReference w:id="4"/>
      </w:r>
    </w:p>
    <w:p w:rsidR="00932FC8" w:rsidRPr="004209DB" w:rsidRDefault="00932FC8" w:rsidP="00932FC8">
      <w:pPr>
        <w:pStyle w:val="ListParagraph"/>
        <w:numPr>
          <w:ilvl w:val="0"/>
          <w:numId w:val="3"/>
        </w:numPr>
        <w:spacing w:after="0" w:line="240" w:lineRule="auto"/>
        <w:jc w:val="both"/>
        <w:rPr>
          <w:rFonts w:ascii="Times New Roman" w:hAnsi="Times New Roman" w:cs="Times New Roman"/>
          <w:sz w:val="28"/>
          <w:szCs w:val="28"/>
        </w:rPr>
      </w:pPr>
      <w:r w:rsidRPr="004209DB">
        <w:rPr>
          <w:rFonts w:ascii="Times New Roman" w:hAnsi="Times New Roman" w:cs="Times New Roman"/>
          <w:bCs/>
          <w:sz w:val="28"/>
          <w:szCs w:val="28"/>
        </w:rPr>
        <w:t>8 quốc gia có quy định cấm bán thuốc lá làm nóng (và cấm sản xuất và/hoặc nhập khẩu và/hoặc quảng cáo và/hoặc hút nơi công cộng): Thái Lan</w:t>
      </w:r>
      <w:r w:rsidRPr="004209DB">
        <w:rPr>
          <w:rFonts w:ascii="Times New Roman" w:hAnsi="Times New Roman" w:cs="Times New Roman"/>
          <w:sz w:val="28"/>
          <w:szCs w:val="28"/>
          <w:vertAlign w:val="superscript"/>
        </w:rPr>
        <w:footnoteReference w:id="5"/>
      </w:r>
      <w:r w:rsidRPr="004209DB">
        <w:rPr>
          <w:rFonts w:ascii="Times New Roman" w:hAnsi="Times New Roman" w:cs="Times New Roman"/>
          <w:bCs/>
          <w:sz w:val="28"/>
          <w:szCs w:val="28"/>
        </w:rPr>
        <w:t>, Malta</w:t>
      </w:r>
      <w:r w:rsidRPr="004209DB">
        <w:rPr>
          <w:rFonts w:ascii="Times New Roman" w:hAnsi="Times New Roman" w:cs="Times New Roman"/>
          <w:sz w:val="28"/>
          <w:szCs w:val="28"/>
          <w:vertAlign w:val="superscript"/>
        </w:rPr>
        <w:footnoteReference w:id="6"/>
      </w:r>
      <w:r w:rsidRPr="004209DB">
        <w:rPr>
          <w:rFonts w:ascii="Times New Roman" w:hAnsi="Times New Roman" w:cs="Times New Roman"/>
          <w:bCs/>
          <w:sz w:val="28"/>
          <w:szCs w:val="28"/>
        </w:rPr>
        <w:t>, Na Uy</w:t>
      </w:r>
      <w:r w:rsidRPr="004209DB">
        <w:rPr>
          <w:rFonts w:ascii="Times New Roman" w:hAnsi="Times New Roman" w:cs="Times New Roman"/>
          <w:sz w:val="28"/>
          <w:szCs w:val="28"/>
          <w:vertAlign w:val="superscript"/>
        </w:rPr>
        <w:footnoteReference w:id="7"/>
      </w:r>
      <w:r w:rsidRPr="004209DB">
        <w:rPr>
          <w:rFonts w:ascii="Times New Roman" w:hAnsi="Times New Roman" w:cs="Times New Roman"/>
          <w:bCs/>
          <w:sz w:val="28"/>
          <w:szCs w:val="28"/>
        </w:rPr>
        <w:t>, Panama</w:t>
      </w:r>
      <w:r w:rsidRPr="004209DB">
        <w:rPr>
          <w:rFonts w:ascii="Times New Roman" w:hAnsi="Times New Roman" w:cs="Times New Roman"/>
          <w:sz w:val="28"/>
          <w:szCs w:val="28"/>
          <w:vertAlign w:val="superscript"/>
        </w:rPr>
        <w:footnoteReference w:id="8"/>
      </w:r>
      <w:r w:rsidRPr="004209DB">
        <w:rPr>
          <w:rFonts w:ascii="Times New Roman" w:hAnsi="Times New Roman" w:cs="Times New Roman"/>
          <w:bCs/>
          <w:sz w:val="28"/>
          <w:szCs w:val="28"/>
        </w:rPr>
        <w:t xml:space="preserve"> Turkmenistan</w:t>
      </w:r>
      <w:r w:rsidRPr="004209DB">
        <w:rPr>
          <w:rFonts w:ascii="Times New Roman" w:hAnsi="Times New Roman" w:cs="Times New Roman"/>
          <w:sz w:val="28"/>
          <w:szCs w:val="28"/>
          <w:vertAlign w:val="superscript"/>
        </w:rPr>
        <w:footnoteReference w:id="9"/>
      </w:r>
      <w:r w:rsidRPr="004209DB">
        <w:rPr>
          <w:rFonts w:ascii="Times New Roman" w:hAnsi="Times New Roman" w:cs="Times New Roman"/>
          <w:bCs/>
          <w:sz w:val="28"/>
          <w:szCs w:val="28"/>
        </w:rPr>
        <w:t>, Tây Ban Nha</w:t>
      </w:r>
      <w:r w:rsidRPr="004209DB">
        <w:rPr>
          <w:rFonts w:ascii="Times New Roman" w:hAnsi="Times New Roman" w:cs="Times New Roman"/>
          <w:sz w:val="28"/>
          <w:szCs w:val="28"/>
          <w:vertAlign w:val="superscript"/>
        </w:rPr>
        <w:footnoteReference w:id="10"/>
      </w:r>
      <w:r w:rsidRPr="004209DB">
        <w:rPr>
          <w:rFonts w:ascii="Times New Roman" w:hAnsi="Times New Roman" w:cs="Times New Roman"/>
          <w:bCs/>
          <w:sz w:val="28"/>
          <w:szCs w:val="28"/>
        </w:rPr>
        <w:t>, Timor-Leste</w:t>
      </w:r>
      <w:r w:rsidRPr="004209DB">
        <w:rPr>
          <w:rFonts w:ascii="Times New Roman" w:hAnsi="Times New Roman" w:cs="Times New Roman"/>
          <w:sz w:val="28"/>
          <w:szCs w:val="28"/>
          <w:vertAlign w:val="superscript"/>
        </w:rPr>
        <w:footnoteReference w:id="11"/>
      </w:r>
      <w:r w:rsidRPr="004209DB">
        <w:rPr>
          <w:rFonts w:ascii="Times New Roman" w:hAnsi="Times New Roman" w:cs="Times New Roman"/>
          <w:bCs/>
          <w:sz w:val="28"/>
          <w:szCs w:val="28"/>
        </w:rPr>
        <w:t>.</w:t>
      </w:r>
    </w:p>
    <w:p w:rsidR="00932FC8" w:rsidRPr="004209DB" w:rsidRDefault="00932FC8" w:rsidP="00932FC8">
      <w:pPr>
        <w:pStyle w:val="ListParagraph"/>
        <w:numPr>
          <w:ilvl w:val="0"/>
          <w:numId w:val="2"/>
        </w:numPr>
        <w:spacing w:after="0" w:line="240" w:lineRule="auto"/>
        <w:jc w:val="both"/>
        <w:rPr>
          <w:rFonts w:ascii="Times New Roman" w:hAnsi="Times New Roman" w:cs="Times New Roman"/>
          <w:sz w:val="28"/>
          <w:szCs w:val="28"/>
        </w:rPr>
      </w:pPr>
      <w:r w:rsidRPr="004209DB">
        <w:rPr>
          <w:rFonts w:ascii="Times New Roman" w:hAnsi="Times New Roman" w:cs="Times New Roman"/>
          <w:bCs/>
          <w:sz w:val="28"/>
          <w:szCs w:val="28"/>
        </w:rPr>
        <w:lastRenderedPageBreak/>
        <w:t>17 quốc gia quy định thuốc lá làm nóng được kiểm soát giống như các sản phẩm thuốc lá thông thường theo quy định về Luật kiểm soát thuốc lá của mỗi quốc gia: Brunei, Ireland, Israel, Jamaica, Nhật Bản, Moldova, Nepal, Senegal, Seychelles, Slovenia, Nam Phi, Tajikistan, Thổ Nhĩ Kỳ, Malaysia, Thụy Sỹ, Maldives.</w:t>
      </w:r>
    </w:p>
    <w:p w:rsidR="00932FC8" w:rsidRPr="004209DB" w:rsidRDefault="00932FC8" w:rsidP="00932FC8">
      <w:pPr>
        <w:pStyle w:val="ListParagraph"/>
        <w:numPr>
          <w:ilvl w:val="0"/>
          <w:numId w:val="1"/>
        </w:numPr>
        <w:spacing w:after="0" w:line="240" w:lineRule="auto"/>
        <w:jc w:val="both"/>
        <w:rPr>
          <w:rFonts w:ascii="Times New Roman" w:hAnsi="Times New Roman" w:cs="Times New Roman"/>
          <w:sz w:val="28"/>
          <w:szCs w:val="28"/>
        </w:rPr>
      </w:pPr>
      <w:r w:rsidRPr="004209DB">
        <w:rPr>
          <w:rFonts w:ascii="Times New Roman" w:hAnsi="Times New Roman" w:cs="Times New Roman"/>
          <w:bCs/>
          <w:sz w:val="28"/>
          <w:szCs w:val="28"/>
        </w:rPr>
        <w:t>2 quốc gia quy định thuốc lá làm nóng được kiểm soát giống thuốc lá điện tử và các sản phẩm thuốc lá khác: Ecuador, Fiji.</w:t>
      </w:r>
    </w:p>
    <w:p w:rsidR="00932FC8" w:rsidRPr="004209DB" w:rsidRDefault="00932FC8" w:rsidP="00932FC8">
      <w:pPr>
        <w:pStyle w:val="ListParagraph"/>
        <w:numPr>
          <w:ilvl w:val="0"/>
          <w:numId w:val="1"/>
        </w:numPr>
        <w:spacing w:after="0" w:line="240" w:lineRule="auto"/>
        <w:jc w:val="both"/>
        <w:rPr>
          <w:rFonts w:ascii="Times New Roman" w:hAnsi="Times New Roman" w:cs="Times New Roman"/>
          <w:sz w:val="28"/>
          <w:szCs w:val="28"/>
        </w:rPr>
      </w:pPr>
      <w:r w:rsidRPr="004209DB">
        <w:rPr>
          <w:rFonts w:ascii="Times New Roman" w:hAnsi="Times New Roman" w:cs="Times New Roman"/>
          <w:bCs/>
          <w:sz w:val="28"/>
          <w:szCs w:val="28"/>
        </w:rPr>
        <w:t>7 quốc gia quy định thuốc lá làm nóng được quản lý theo Chỉ thị về các sản phẩm thuốc lá của EU (Điều 19 về các sản phẩm thuốc lá mới). Quy định liên quan đến việc phải báo cáo/thông báo và cảnh báo sức khỏe bằng hình ảnh: Cyprus, Anh, Đan Mạch, Ý, Luxembourg, Hà Lan, Thụy Điển</w:t>
      </w:r>
    </w:p>
    <w:p w:rsidR="00932FC8" w:rsidRPr="004209DB" w:rsidRDefault="00932FC8" w:rsidP="00932FC8">
      <w:pPr>
        <w:pStyle w:val="ListParagraph"/>
        <w:numPr>
          <w:ilvl w:val="0"/>
          <w:numId w:val="1"/>
        </w:numPr>
        <w:spacing w:after="0" w:line="240" w:lineRule="auto"/>
        <w:jc w:val="both"/>
        <w:rPr>
          <w:rFonts w:ascii="Times New Roman" w:hAnsi="Times New Roman" w:cs="Times New Roman"/>
          <w:sz w:val="28"/>
          <w:szCs w:val="28"/>
        </w:rPr>
      </w:pPr>
      <w:r w:rsidRPr="004209DB">
        <w:rPr>
          <w:rFonts w:ascii="Times New Roman" w:hAnsi="Times New Roman" w:cs="Times New Roman"/>
          <w:bCs/>
          <w:sz w:val="28"/>
          <w:szCs w:val="28"/>
        </w:rPr>
        <w:t>3 quốc gia quy định thuốc lá làm nóng quản lý theo Chỉ thị về các sản phẩm thuốc lá của Châu Âu và đồng thời bị đánh thuế theo Luật thuế: Pháp, Bồ Đào Nha</w:t>
      </w:r>
      <w:r w:rsidRPr="004209DB">
        <w:rPr>
          <w:rFonts w:ascii="Times New Roman" w:hAnsi="Times New Roman" w:cs="Times New Roman"/>
          <w:bCs/>
          <w:sz w:val="28"/>
          <w:szCs w:val="28"/>
          <w:vertAlign w:val="superscript"/>
        </w:rPr>
        <w:footnoteReference w:id="12"/>
      </w:r>
      <w:r w:rsidRPr="004209DB">
        <w:rPr>
          <w:rFonts w:ascii="Times New Roman" w:hAnsi="Times New Roman" w:cs="Times New Roman"/>
          <w:bCs/>
          <w:sz w:val="28"/>
          <w:szCs w:val="28"/>
        </w:rPr>
        <w:t>, Romania; Wales</w:t>
      </w:r>
      <w:r w:rsidRPr="004209DB">
        <w:rPr>
          <w:rFonts w:ascii="Times New Roman" w:hAnsi="Times New Roman" w:cs="Times New Roman"/>
          <w:bCs/>
          <w:sz w:val="28"/>
          <w:szCs w:val="28"/>
          <w:vertAlign w:val="superscript"/>
        </w:rPr>
        <w:footnoteReference w:id="13"/>
      </w:r>
      <w:r w:rsidRPr="004209DB">
        <w:rPr>
          <w:rFonts w:ascii="Times New Roman" w:hAnsi="Times New Roman" w:cs="Times New Roman"/>
          <w:bCs/>
          <w:sz w:val="28"/>
          <w:szCs w:val="28"/>
        </w:rPr>
        <w:t>.</w:t>
      </w:r>
    </w:p>
    <w:p w:rsidR="00932FC8" w:rsidRPr="002A2E2A" w:rsidRDefault="00932FC8" w:rsidP="00932FC8">
      <w:pPr>
        <w:pStyle w:val="ListParagraph"/>
        <w:numPr>
          <w:ilvl w:val="0"/>
          <w:numId w:val="1"/>
        </w:numPr>
        <w:spacing w:after="0" w:line="240" w:lineRule="auto"/>
        <w:jc w:val="both"/>
        <w:rPr>
          <w:rFonts w:ascii="Times New Roman" w:hAnsi="Times New Roman" w:cs="Times New Roman"/>
          <w:sz w:val="28"/>
          <w:szCs w:val="28"/>
        </w:rPr>
      </w:pPr>
      <w:r w:rsidRPr="004209DB">
        <w:rPr>
          <w:rFonts w:ascii="Times New Roman" w:hAnsi="Times New Roman" w:cs="Times New Roman"/>
          <w:bCs/>
          <w:sz w:val="28"/>
          <w:szCs w:val="28"/>
        </w:rPr>
        <w:t>6 quốc gia có các quy định riêng liên quan đến đánh thuế, hoặc cấm quảng cáo/trưng bày, hoặc cấm hút nơi công cộng: Georgia</w:t>
      </w:r>
      <w:r w:rsidRPr="004209DB">
        <w:rPr>
          <w:rFonts w:ascii="Times New Roman" w:hAnsi="Times New Roman" w:cs="Times New Roman"/>
          <w:bCs/>
          <w:sz w:val="28"/>
          <w:szCs w:val="28"/>
          <w:vertAlign w:val="superscript"/>
        </w:rPr>
        <w:footnoteReference w:id="14"/>
      </w:r>
      <w:r w:rsidRPr="004209DB">
        <w:rPr>
          <w:rFonts w:ascii="Times New Roman" w:hAnsi="Times New Roman" w:cs="Times New Roman"/>
          <w:bCs/>
          <w:sz w:val="28"/>
          <w:szCs w:val="28"/>
        </w:rPr>
        <w:t>, Đức</w:t>
      </w:r>
      <w:r w:rsidRPr="004209DB">
        <w:rPr>
          <w:rFonts w:ascii="Times New Roman" w:hAnsi="Times New Roman" w:cs="Times New Roman"/>
          <w:bCs/>
          <w:sz w:val="28"/>
          <w:szCs w:val="28"/>
          <w:vertAlign w:val="superscript"/>
        </w:rPr>
        <w:footnoteReference w:id="15"/>
      </w:r>
      <w:r w:rsidRPr="004209DB">
        <w:rPr>
          <w:rFonts w:ascii="Times New Roman" w:hAnsi="Times New Roman" w:cs="Times New Roman"/>
          <w:bCs/>
          <w:sz w:val="28"/>
          <w:szCs w:val="28"/>
        </w:rPr>
        <w:t>, Scotland</w:t>
      </w:r>
      <w:r w:rsidRPr="004209DB">
        <w:rPr>
          <w:rFonts w:ascii="Times New Roman" w:hAnsi="Times New Roman" w:cs="Times New Roman"/>
          <w:bCs/>
          <w:sz w:val="28"/>
          <w:szCs w:val="28"/>
          <w:vertAlign w:val="superscript"/>
        </w:rPr>
        <w:footnoteReference w:id="16"/>
      </w:r>
      <w:r w:rsidRPr="004209DB">
        <w:rPr>
          <w:rFonts w:ascii="Times New Roman" w:hAnsi="Times New Roman" w:cs="Times New Roman"/>
          <w:bCs/>
          <w:sz w:val="28"/>
          <w:szCs w:val="28"/>
        </w:rPr>
        <w:t>, Nhật Bản</w:t>
      </w:r>
      <w:r w:rsidRPr="004209DB">
        <w:rPr>
          <w:rFonts w:ascii="Times New Roman" w:hAnsi="Times New Roman" w:cs="Times New Roman"/>
          <w:bCs/>
          <w:sz w:val="28"/>
          <w:szCs w:val="28"/>
          <w:vertAlign w:val="superscript"/>
        </w:rPr>
        <w:footnoteReference w:id="17"/>
      </w:r>
      <w:r w:rsidRPr="004209DB">
        <w:rPr>
          <w:rFonts w:ascii="Times New Roman" w:hAnsi="Times New Roman" w:cs="Times New Roman"/>
          <w:bCs/>
          <w:sz w:val="28"/>
          <w:szCs w:val="28"/>
        </w:rPr>
        <w:t>, New Zealand</w:t>
      </w:r>
      <w:r w:rsidRPr="004209DB">
        <w:rPr>
          <w:rFonts w:ascii="Times New Roman" w:hAnsi="Times New Roman" w:cs="Times New Roman"/>
          <w:bCs/>
          <w:sz w:val="28"/>
          <w:szCs w:val="28"/>
          <w:vertAlign w:val="superscript"/>
        </w:rPr>
        <w:footnoteReference w:id="18"/>
      </w:r>
      <w:r w:rsidRPr="004209DB">
        <w:rPr>
          <w:rFonts w:ascii="Times New Roman" w:hAnsi="Times New Roman" w:cs="Times New Roman"/>
          <w:bCs/>
          <w:sz w:val="28"/>
          <w:szCs w:val="28"/>
        </w:rPr>
        <w:t>, Ba Lan</w:t>
      </w:r>
      <w:r w:rsidRPr="004209DB">
        <w:rPr>
          <w:rFonts w:ascii="Times New Roman" w:hAnsi="Times New Roman" w:cs="Times New Roman"/>
          <w:bCs/>
          <w:sz w:val="28"/>
          <w:szCs w:val="28"/>
          <w:vertAlign w:val="superscript"/>
        </w:rPr>
        <w:footnoteReference w:id="19"/>
      </w:r>
    </w:p>
    <w:p w:rsidR="002A2E2A" w:rsidRPr="00305278" w:rsidRDefault="002A2E2A" w:rsidP="002A2E2A">
      <w:pPr>
        <w:pStyle w:val="ListParagraph"/>
        <w:spacing w:after="0" w:line="240" w:lineRule="auto"/>
        <w:jc w:val="both"/>
        <w:rPr>
          <w:rFonts w:ascii="Times New Roman" w:hAnsi="Times New Roman" w:cs="Times New Roman"/>
          <w:sz w:val="28"/>
          <w:szCs w:val="28"/>
        </w:rPr>
      </w:pPr>
    </w:p>
    <w:p w:rsidR="00305278" w:rsidRPr="00305278" w:rsidRDefault="00305278" w:rsidP="00305278">
      <w:pPr>
        <w:pStyle w:val="ListParagraph"/>
        <w:spacing w:after="0" w:line="240" w:lineRule="auto"/>
        <w:jc w:val="both"/>
        <w:rPr>
          <w:rFonts w:ascii="Times New Roman" w:hAnsi="Times New Roman" w:cs="Times New Roman"/>
          <w:sz w:val="28"/>
          <w:szCs w:val="28"/>
        </w:rPr>
      </w:pPr>
    </w:p>
    <w:p w:rsidR="00932FC8" w:rsidRDefault="00932FC8"/>
    <w:sectPr w:rsidR="00932FC8" w:rsidSect="002A2E2A">
      <w:pgSz w:w="12240" w:h="15840"/>
      <w:pgMar w:top="1135"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A70" w:rsidRDefault="00975A70" w:rsidP="00932FC8">
      <w:pPr>
        <w:spacing w:after="0" w:line="240" w:lineRule="auto"/>
      </w:pPr>
      <w:r>
        <w:separator/>
      </w:r>
    </w:p>
  </w:endnote>
  <w:endnote w:type="continuationSeparator" w:id="1">
    <w:p w:rsidR="00975A70" w:rsidRDefault="00975A70" w:rsidP="00932F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20002A87" w:usb1="80000000" w:usb2="00000008" w:usb3="00000000" w:csb0="000001FF" w:csb1="00000000"/>
  </w:font>
  <w:font w:name="Tahoma">
    <w:panose1 w:val="020B0604030504040204"/>
    <w:charset w:val="A3"/>
    <w:family w:val="swiss"/>
    <w:pitch w:val="variable"/>
    <w:sig w:usb0="21002A87" w:usb1="80000000" w:usb2="00000008" w:usb3="00000000" w:csb0="000101FF" w:csb1="00000000"/>
  </w:font>
  <w:font w:name="Cambria">
    <w:panose1 w:val="02040503050406030204"/>
    <w:charset w:val="A3"/>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A70" w:rsidRDefault="00975A70" w:rsidP="00932FC8">
      <w:pPr>
        <w:spacing w:after="0" w:line="240" w:lineRule="auto"/>
      </w:pPr>
      <w:r>
        <w:separator/>
      </w:r>
    </w:p>
  </w:footnote>
  <w:footnote w:type="continuationSeparator" w:id="1">
    <w:p w:rsidR="00975A70" w:rsidRDefault="00975A70" w:rsidP="00932FC8">
      <w:pPr>
        <w:spacing w:after="0" w:line="240" w:lineRule="auto"/>
      </w:pPr>
      <w:r>
        <w:continuationSeparator/>
      </w:r>
    </w:p>
  </w:footnote>
  <w:footnote w:id="2">
    <w:p w:rsidR="00932FC8" w:rsidRPr="00887B59" w:rsidRDefault="00932FC8" w:rsidP="00932FC8">
      <w:pPr>
        <w:pStyle w:val="EndNoteBibliography"/>
        <w:spacing w:after="0"/>
        <w:ind w:left="720" w:hanging="720"/>
        <w:rPr>
          <w:rFonts w:ascii="Times New Roman" w:hAnsi="Times New Roman" w:cs="Times New Roman"/>
          <w:sz w:val="16"/>
          <w:szCs w:val="16"/>
        </w:rPr>
      </w:pPr>
      <w:r w:rsidRPr="00887B59">
        <w:rPr>
          <w:rStyle w:val="FootnoteReference"/>
          <w:rFonts w:ascii="Times New Roman" w:hAnsi="Times New Roman" w:cs="Times New Roman"/>
          <w:sz w:val="16"/>
          <w:szCs w:val="16"/>
        </w:rPr>
        <w:footnoteRef/>
      </w:r>
      <w:r w:rsidRPr="00887B59">
        <w:rPr>
          <w:rFonts w:ascii="Times New Roman" w:hAnsi="Times New Roman" w:cs="Times New Roman"/>
          <w:sz w:val="16"/>
          <w:szCs w:val="16"/>
        </w:rPr>
        <w:t xml:space="preserve"> E.Ulyses Dorotheo </w:t>
      </w:r>
      <w:r w:rsidRPr="00887B59">
        <w:rPr>
          <w:rFonts w:ascii="Times New Roman" w:hAnsi="Times New Roman" w:cs="Times New Roman"/>
          <w:i/>
          <w:sz w:val="16"/>
          <w:szCs w:val="16"/>
        </w:rPr>
        <w:t>ENDS and HTPs: Novel and emerging products.</w:t>
      </w:r>
      <w:r w:rsidRPr="00887B59">
        <w:rPr>
          <w:rFonts w:ascii="Times New Roman" w:hAnsi="Times New Roman" w:cs="Times New Roman"/>
          <w:sz w:val="16"/>
          <w:szCs w:val="16"/>
        </w:rPr>
        <w:t xml:space="preserve"> 2019.</w:t>
      </w:r>
    </w:p>
  </w:footnote>
  <w:footnote w:id="3">
    <w:p w:rsidR="00932FC8" w:rsidRPr="00887B59" w:rsidRDefault="00932FC8" w:rsidP="00932FC8">
      <w:pPr>
        <w:pStyle w:val="FootnoteText"/>
        <w:jc w:val="both"/>
        <w:rPr>
          <w:rFonts w:ascii="Times New Roman" w:hAnsi="Times New Roman" w:cs="Times New Roman"/>
          <w:sz w:val="16"/>
          <w:szCs w:val="16"/>
        </w:rPr>
      </w:pPr>
      <w:r w:rsidRPr="00887B59">
        <w:rPr>
          <w:rStyle w:val="FootnoteReference"/>
          <w:rFonts w:ascii="Times New Roman" w:hAnsi="Times New Roman" w:cs="Times New Roman"/>
          <w:sz w:val="16"/>
          <w:szCs w:val="16"/>
        </w:rPr>
        <w:footnoteRef/>
      </w:r>
      <w:r w:rsidRPr="00887B59">
        <w:rPr>
          <w:rFonts w:ascii="Times New Roman" w:hAnsi="Times New Roman" w:cs="Times New Roman"/>
          <w:sz w:val="16"/>
          <w:szCs w:val="16"/>
        </w:rPr>
        <w:t>https://www.who.int/fctc/cop/sessions/cop8/FCTC__COP8(22).pdf?ua=1</w:t>
      </w:r>
    </w:p>
  </w:footnote>
  <w:footnote w:id="4">
    <w:p w:rsidR="00932FC8" w:rsidRPr="00887B59" w:rsidRDefault="00932FC8" w:rsidP="00932FC8">
      <w:pPr>
        <w:pStyle w:val="FootnoteText"/>
        <w:rPr>
          <w:rFonts w:ascii="Times New Roman" w:hAnsi="Times New Roman" w:cs="Times New Roman"/>
          <w:sz w:val="16"/>
          <w:szCs w:val="16"/>
        </w:rPr>
      </w:pPr>
      <w:r w:rsidRPr="00887B59">
        <w:rPr>
          <w:rStyle w:val="FootnoteReference"/>
          <w:rFonts w:ascii="Times New Roman" w:hAnsi="Times New Roman" w:cs="Times New Roman"/>
          <w:sz w:val="16"/>
          <w:szCs w:val="16"/>
        </w:rPr>
        <w:footnoteRef/>
      </w:r>
      <w:r w:rsidRPr="00887B59">
        <w:rPr>
          <w:rFonts w:ascii="Times New Roman" w:hAnsi="Times New Roman" w:cs="Times New Roman"/>
          <w:sz w:val="16"/>
          <w:szCs w:val="16"/>
        </w:rPr>
        <w:t>Institute of Global Tobacco Control, C.t.R.H.T.P. 11/2018; Available from: https://www.globaltobaccocontrol.org/e-cigarette_policyscan</w:t>
      </w:r>
    </w:p>
  </w:footnote>
  <w:footnote w:id="5">
    <w:p w:rsidR="00932FC8" w:rsidRPr="00A677A8" w:rsidRDefault="00932FC8" w:rsidP="00932FC8">
      <w:pPr>
        <w:spacing w:after="0" w:line="240" w:lineRule="auto"/>
        <w:jc w:val="both"/>
        <w:rPr>
          <w:rFonts w:ascii="Times New Roman" w:hAnsi="Times New Roman" w:cs="Times New Roman"/>
          <w:sz w:val="16"/>
          <w:szCs w:val="16"/>
          <w:lang w:val="vi-VN"/>
        </w:rPr>
      </w:pPr>
      <w:r w:rsidRPr="00887B59">
        <w:rPr>
          <w:rStyle w:val="FootnoteReference"/>
          <w:rFonts w:ascii="Times New Roman" w:hAnsi="Times New Roman" w:cs="Times New Roman"/>
          <w:sz w:val="16"/>
          <w:szCs w:val="16"/>
        </w:rPr>
        <w:footnoteRef/>
      </w:r>
      <w:r w:rsidRPr="00887B59">
        <w:rPr>
          <w:rFonts w:ascii="Times New Roman" w:hAnsi="Times New Roman" w:cs="Times New Roman"/>
          <w:b/>
          <w:sz w:val="16"/>
          <w:szCs w:val="16"/>
        </w:rPr>
        <w:t>Thái Lan</w:t>
      </w:r>
      <w:r w:rsidRPr="00887B59">
        <w:rPr>
          <w:rFonts w:ascii="Times New Roman" w:hAnsi="Times New Roman" w:cs="Times New Roman"/>
          <w:sz w:val="16"/>
          <w:szCs w:val="16"/>
        </w:rPr>
        <w:t xml:space="preserve">: </w:t>
      </w:r>
      <w:r w:rsidRPr="00887B59">
        <w:rPr>
          <w:rFonts w:ascii="Times New Roman" w:hAnsi="Times New Roman" w:cs="Times New Roman"/>
          <w:sz w:val="16"/>
          <w:szCs w:val="16"/>
          <w:lang w:val="vi-VN"/>
        </w:rPr>
        <w:t xml:space="preserve">Các sản phẩm thuốc lá làm nóng được phân loại là thuốc lá điện tử theo định nghĩa của thuốc lá điện tử theo Thông báo của Hội đồng Người tiêu dùng và Thông báo </w:t>
      </w:r>
      <w:r w:rsidRPr="00887B59">
        <w:rPr>
          <w:rFonts w:ascii="Times New Roman" w:hAnsi="Times New Roman" w:cs="Times New Roman"/>
          <w:sz w:val="16"/>
          <w:szCs w:val="16"/>
        </w:rPr>
        <w:t xml:space="preserve">của </w:t>
      </w:r>
      <w:r w:rsidRPr="00887B59">
        <w:rPr>
          <w:rFonts w:ascii="Times New Roman" w:hAnsi="Times New Roman" w:cs="Times New Roman"/>
          <w:sz w:val="16"/>
          <w:szCs w:val="16"/>
          <w:lang w:val="vi-VN"/>
        </w:rPr>
        <w:t>Bộ Thương mại. Do đó, thuốc lá làm nóng bị cấm bán và nhập khẩu theo quy định hiện hành.</w:t>
      </w:r>
    </w:p>
  </w:footnote>
  <w:footnote w:id="6">
    <w:p w:rsidR="00932FC8" w:rsidRPr="00A677A8" w:rsidRDefault="00932FC8" w:rsidP="00932FC8">
      <w:pPr>
        <w:spacing w:after="0" w:line="240" w:lineRule="auto"/>
        <w:jc w:val="both"/>
        <w:rPr>
          <w:rFonts w:ascii="Times New Roman" w:hAnsi="Times New Roman" w:cs="Times New Roman"/>
          <w:sz w:val="16"/>
          <w:szCs w:val="16"/>
          <w:lang w:val="vi-VN"/>
        </w:rPr>
      </w:pPr>
      <w:r w:rsidRPr="00887B59">
        <w:rPr>
          <w:rStyle w:val="FootnoteReference"/>
          <w:rFonts w:ascii="Times New Roman" w:hAnsi="Times New Roman" w:cs="Times New Roman"/>
          <w:sz w:val="16"/>
          <w:szCs w:val="16"/>
        </w:rPr>
        <w:footnoteRef/>
      </w:r>
      <w:r w:rsidRPr="00A677A8">
        <w:rPr>
          <w:rFonts w:ascii="Times New Roman" w:hAnsi="Times New Roman" w:cs="Times New Roman"/>
          <w:b/>
          <w:sz w:val="16"/>
          <w:szCs w:val="16"/>
          <w:lang w:val="vi-VN"/>
        </w:rPr>
        <w:t xml:space="preserve"> Malta</w:t>
      </w:r>
      <w:r w:rsidRPr="00A677A8">
        <w:rPr>
          <w:rFonts w:ascii="Times New Roman" w:hAnsi="Times New Roman" w:cs="Times New Roman"/>
          <w:sz w:val="16"/>
          <w:szCs w:val="16"/>
          <w:lang w:val="vi-VN"/>
        </w:rPr>
        <w:t xml:space="preserve">: </w:t>
      </w:r>
      <w:r w:rsidRPr="00887B59">
        <w:rPr>
          <w:rFonts w:ascii="Times New Roman" w:hAnsi="Times New Roman" w:cs="Times New Roman"/>
          <w:sz w:val="16"/>
          <w:szCs w:val="16"/>
          <w:lang w:val="vi-VN"/>
        </w:rPr>
        <w:t xml:space="preserve">Các sản phẩm thuốc lá </w:t>
      </w:r>
      <w:r w:rsidRPr="00A677A8">
        <w:rPr>
          <w:rFonts w:ascii="Times New Roman" w:hAnsi="Times New Roman" w:cs="Times New Roman"/>
          <w:sz w:val="16"/>
          <w:szCs w:val="16"/>
          <w:lang w:val="vi-VN"/>
        </w:rPr>
        <w:t>làm</w:t>
      </w:r>
      <w:r w:rsidRPr="00887B59">
        <w:rPr>
          <w:rFonts w:ascii="Times New Roman" w:hAnsi="Times New Roman" w:cs="Times New Roman"/>
          <w:sz w:val="16"/>
          <w:szCs w:val="16"/>
          <w:lang w:val="vi-VN"/>
        </w:rPr>
        <w:t xml:space="preserve"> nóng được các nhà sản xuất phân loại là các sản phẩm thuốc lá không khói, vì vậy chúng phải tuân theo Thông báo Pháp lý 67</w:t>
      </w:r>
      <w:r w:rsidRPr="00A677A8">
        <w:rPr>
          <w:rFonts w:ascii="Times New Roman" w:hAnsi="Times New Roman" w:cs="Times New Roman"/>
          <w:sz w:val="16"/>
          <w:szCs w:val="16"/>
          <w:lang w:val="vi-VN"/>
        </w:rPr>
        <w:t xml:space="preserve"> (Legal Notice 67) về việc</w:t>
      </w:r>
      <w:r w:rsidRPr="00887B59">
        <w:rPr>
          <w:rFonts w:ascii="Times New Roman" w:hAnsi="Times New Roman" w:cs="Times New Roman"/>
          <w:sz w:val="16"/>
          <w:szCs w:val="16"/>
          <w:lang w:val="vi-VN"/>
        </w:rPr>
        <w:t xml:space="preserve"> cấm nhập khẩu, sản xuất, bán, v.v ... bất kỳ sản phẩm thuốc lá không khói nào.</w:t>
      </w:r>
    </w:p>
  </w:footnote>
  <w:footnote w:id="7">
    <w:p w:rsidR="00932FC8" w:rsidRPr="00A677A8" w:rsidRDefault="00932FC8" w:rsidP="00932FC8">
      <w:pPr>
        <w:spacing w:after="0" w:line="240" w:lineRule="auto"/>
        <w:jc w:val="both"/>
        <w:rPr>
          <w:rFonts w:ascii="Times New Roman" w:hAnsi="Times New Roman" w:cs="Times New Roman"/>
          <w:sz w:val="16"/>
          <w:szCs w:val="16"/>
          <w:lang w:val="vi-VN"/>
        </w:rPr>
      </w:pPr>
      <w:r w:rsidRPr="00887B59">
        <w:rPr>
          <w:rStyle w:val="FootnoteReference"/>
          <w:rFonts w:ascii="Times New Roman" w:hAnsi="Times New Roman" w:cs="Times New Roman"/>
          <w:sz w:val="16"/>
          <w:szCs w:val="16"/>
        </w:rPr>
        <w:footnoteRef/>
      </w:r>
      <w:r w:rsidRPr="00A677A8">
        <w:rPr>
          <w:rFonts w:ascii="Times New Roman" w:hAnsi="Times New Roman" w:cs="Times New Roman"/>
          <w:b/>
          <w:sz w:val="16"/>
          <w:szCs w:val="16"/>
          <w:lang w:val="vi-VN"/>
        </w:rPr>
        <w:t xml:space="preserve"> Na Uy</w:t>
      </w:r>
      <w:r w:rsidRPr="00A677A8">
        <w:rPr>
          <w:rFonts w:ascii="Times New Roman" w:hAnsi="Times New Roman" w:cs="Times New Roman"/>
          <w:sz w:val="16"/>
          <w:szCs w:val="16"/>
          <w:lang w:val="vi-VN"/>
        </w:rPr>
        <w:t xml:space="preserve">: </w:t>
      </w:r>
      <w:r w:rsidRPr="00887B59">
        <w:rPr>
          <w:rFonts w:ascii="Times New Roman" w:hAnsi="Times New Roman" w:cs="Times New Roman"/>
          <w:sz w:val="16"/>
          <w:szCs w:val="16"/>
          <w:lang w:val="vi-VN"/>
        </w:rPr>
        <w:t xml:space="preserve">Các sản phẩm thuốc lá </w:t>
      </w:r>
      <w:r w:rsidRPr="00A677A8">
        <w:rPr>
          <w:rFonts w:ascii="Times New Roman" w:hAnsi="Times New Roman" w:cs="Times New Roman"/>
          <w:sz w:val="16"/>
          <w:szCs w:val="16"/>
          <w:lang w:val="vi-VN"/>
        </w:rPr>
        <w:t>là</w:t>
      </w:r>
      <w:r w:rsidRPr="00887B59">
        <w:rPr>
          <w:rFonts w:ascii="Times New Roman" w:hAnsi="Times New Roman" w:cs="Times New Roman"/>
          <w:sz w:val="16"/>
          <w:szCs w:val="16"/>
          <w:lang w:val="vi-VN"/>
        </w:rPr>
        <w:t>m nóng bị cấm ở Na Uy theo Quy định 1044</w:t>
      </w:r>
      <w:r w:rsidRPr="00A677A8">
        <w:rPr>
          <w:rFonts w:ascii="Times New Roman" w:hAnsi="Times New Roman" w:cs="Times New Roman"/>
          <w:sz w:val="16"/>
          <w:szCs w:val="16"/>
          <w:lang w:val="vi-VN"/>
        </w:rPr>
        <w:t>,</w:t>
      </w:r>
      <w:r w:rsidRPr="00887B59">
        <w:rPr>
          <w:rFonts w:ascii="Times New Roman" w:hAnsi="Times New Roman" w:cs="Times New Roman"/>
          <w:sz w:val="16"/>
          <w:szCs w:val="16"/>
          <w:lang w:val="vi-VN"/>
        </w:rPr>
        <w:t xml:space="preserve"> ngày 13 tháng 10 năm 1989 liên quan đến việc cấm các sản phẩm thuốc lá và </w:t>
      </w:r>
      <w:r w:rsidRPr="00A677A8">
        <w:rPr>
          <w:rFonts w:ascii="Times New Roman" w:hAnsi="Times New Roman" w:cs="Times New Roman"/>
          <w:sz w:val="16"/>
          <w:szCs w:val="16"/>
          <w:lang w:val="vi-VN"/>
        </w:rPr>
        <w:t xml:space="preserve">nicotine </w:t>
      </w:r>
      <w:r w:rsidRPr="00887B59">
        <w:rPr>
          <w:rFonts w:ascii="Times New Roman" w:hAnsi="Times New Roman" w:cs="Times New Roman"/>
          <w:sz w:val="16"/>
          <w:szCs w:val="16"/>
          <w:lang w:val="vi-VN"/>
        </w:rPr>
        <w:t>mới.</w:t>
      </w:r>
    </w:p>
  </w:footnote>
  <w:footnote w:id="8">
    <w:p w:rsidR="00932FC8" w:rsidRPr="00A677A8" w:rsidRDefault="00932FC8" w:rsidP="00932FC8">
      <w:pPr>
        <w:spacing w:after="0" w:line="240" w:lineRule="auto"/>
        <w:jc w:val="both"/>
        <w:rPr>
          <w:rFonts w:ascii="Times New Roman" w:hAnsi="Times New Roman" w:cs="Times New Roman"/>
          <w:sz w:val="16"/>
          <w:szCs w:val="16"/>
          <w:lang w:val="vi-VN"/>
        </w:rPr>
      </w:pPr>
      <w:r w:rsidRPr="00887B59">
        <w:rPr>
          <w:rStyle w:val="FootnoteReference"/>
          <w:rFonts w:ascii="Times New Roman" w:hAnsi="Times New Roman" w:cs="Times New Roman"/>
          <w:sz w:val="16"/>
          <w:szCs w:val="16"/>
        </w:rPr>
        <w:footnoteRef/>
      </w:r>
      <w:r w:rsidRPr="00A677A8">
        <w:rPr>
          <w:rFonts w:ascii="Times New Roman" w:hAnsi="Times New Roman" w:cs="Times New Roman"/>
          <w:b/>
          <w:sz w:val="16"/>
          <w:szCs w:val="16"/>
          <w:lang w:val="vi-VN"/>
        </w:rPr>
        <w:t>Panama</w:t>
      </w:r>
      <w:r w:rsidRPr="00A677A8">
        <w:rPr>
          <w:rFonts w:ascii="Times New Roman" w:hAnsi="Times New Roman" w:cs="Times New Roman"/>
          <w:sz w:val="16"/>
          <w:szCs w:val="16"/>
          <w:lang w:val="vi-VN"/>
        </w:rPr>
        <w:t xml:space="preserve">: </w:t>
      </w:r>
      <w:r w:rsidRPr="00887B59">
        <w:rPr>
          <w:rFonts w:ascii="Times New Roman" w:hAnsi="Times New Roman" w:cs="Times New Roman"/>
          <w:sz w:val="16"/>
          <w:szCs w:val="16"/>
          <w:lang w:val="vi-VN"/>
        </w:rPr>
        <w:t>Nghị quyết số 0953</w:t>
      </w:r>
      <w:r w:rsidRPr="00A677A8">
        <w:rPr>
          <w:rFonts w:ascii="Times New Roman" w:hAnsi="Times New Roman" w:cs="Times New Roman"/>
          <w:sz w:val="16"/>
          <w:szCs w:val="16"/>
          <w:lang w:val="vi-VN"/>
        </w:rPr>
        <w:t>,</w:t>
      </w:r>
      <w:r w:rsidRPr="00887B59">
        <w:rPr>
          <w:rFonts w:ascii="Times New Roman" w:hAnsi="Times New Roman" w:cs="Times New Roman"/>
          <w:sz w:val="16"/>
          <w:szCs w:val="16"/>
          <w:lang w:val="vi-VN"/>
        </w:rPr>
        <w:t xml:space="preserve"> ngày 15 tháng 5 năm 2018</w:t>
      </w:r>
      <w:r w:rsidRPr="00A677A8">
        <w:rPr>
          <w:rFonts w:ascii="Times New Roman" w:hAnsi="Times New Roman" w:cs="Times New Roman"/>
          <w:sz w:val="16"/>
          <w:szCs w:val="16"/>
          <w:lang w:val="vi-VN"/>
        </w:rPr>
        <w:t>,</w:t>
      </w:r>
      <w:r w:rsidRPr="00887B59">
        <w:rPr>
          <w:rFonts w:ascii="Times New Roman" w:hAnsi="Times New Roman" w:cs="Times New Roman"/>
          <w:sz w:val="16"/>
          <w:szCs w:val="16"/>
          <w:lang w:val="vi-VN"/>
        </w:rPr>
        <w:t xml:space="preserve"> cấm bán các sản phẩm thuốc lá </w:t>
      </w:r>
      <w:r w:rsidRPr="00A677A8">
        <w:rPr>
          <w:rFonts w:ascii="Times New Roman" w:hAnsi="Times New Roman" w:cs="Times New Roman"/>
          <w:sz w:val="16"/>
          <w:szCs w:val="16"/>
          <w:lang w:val="vi-VN"/>
        </w:rPr>
        <w:t>làm</w:t>
      </w:r>
      <w:r w:rsidRPr="00887B59">
        <w:rPr>
          <w:rFonts w:ascii="Times New Roman" w:hAnsi="Times New Roman" w:cs="Times New Roman"/>
          <w:sz w:val="16"/>
          <w:szCs w:val="16"/>
          <w:lang w:val="vi-VN"/>
        </w:rPr>
        <w:t xml:space="preserve"> nóng, bao gồm các bộ phận cấu thành nội tại cho các sản phẩm thuốc lá </w:t>
      </w:r>
      <w:r w:rsidRPr="00A677A8">
        <w:rPr>
          <w:rFonts w:ascii="Times New Roman" w:hAnsi="Times New Roman" w:cs="Times New Roman"/>
          <w:sz w:val="16"/>
          <w:szCs w:val="16"/>
          <w:lang w:val="vi-VN"/>
        </w:rPr>
        <w:t>làm</w:t>
      </w:r>
      <w:r w:rsidRPr="00887B59">
        <w:rPr>
          <w:rFonts w:ascii="Times New Roman" w:hAnsi="Times New Roman" w:cs="Times New Roman"/>
          <w:sz w:val="16"/>
          <w:szCs w:val="16"/>
          <w:lang w:val="vi-VN"/>
        </w:rPr>
        <w:t xml:space="preserve"> nông</w:t>
      </w:r>
      <w:r w:rsidRPr="00A677A8">
        <w:rPr>
          <w:rFonts w:ascii="Times New Roman" w:hAnsi="Times New Roman" w:cs="Times New Roman"/>
          <w:sz w:val="16"/>
          <w:szCs w:val="16"/>
          <w:lang w:val="vi-VN"/>
        </w:rPr>
        <w:t>, và</w:t>
      </w:r>
      <w:r w:rsidRPr="00887B59">
        <w:rPr>
          <w:rFonts w:ascii="Times New Roman" w:hAnsi="Times New Roman" w:cs="Times New Roman"/>
          <w:sz w:val="16"/>
          <w:szCs w:val="16"/>
          <w:lang w:val="vi-VN"/>
        </w:rPr>
        <w:t xml:space="preserve"> cấm sử dụngở những nơi cấm hút thuốc.</w:t>
      </w:r>
    </w:p>
  </w:footnote>
  <w:footnote w:id="9">
    <w:p w:rsidR="00932FC8" w:rsidRPr="00A677A8" w:rsidRDefault="00932FC8" w:rsidP="00932FC8">
      <w:pPr>
        <w:pStyle w:val="FootnoteText"/>
        <w:rPr>
          <w:rFonts w:ascii="Times New Roman" w:hAnsi="Times New Roman" w:cs="Times New Roman"/>
          <w:sz w:val="16"/>
          <w:szCs w:val="16"/>
          <w:lang w:val="vi-VN"/>
        </w:rPr>
      </w:pPr>
      <w:r w:rsidRPr="00887B59">
        <w:rPr>
          <w:rStyle w:val="FootnoteReference"/>
          <w:rFonts w:ascii="Times New Roman" w:hAnsi="Times New Roman" w:cs="Times New Roman"/>
          <w:sz w:val="16"/>
          <w:szCs w:val="16"/>
        </w:rPr>
        <w:footnoteRef/>
      </w:r>
      <w:r w:rsidRPr="00A677A8">
        <w:rPr>
          <w:rFonts w:ascii="Times New Roman" w:hAnsi="Times New Roman" w:cs="Times New Roman"/>
          <w:b/>
          <w:sz w:val="16"/>
          <w:szCs w:val="16"/>
          <w:lang w:val="vi-VN"/>
        </w:rPr>
        <w:t>Turkmenistan:</w:t>
      </w:r>
      <w:r w:rsidRPr="00A677A8">
        <w:rPr>
          <w:rFonts w:ascii="Times New Roman" w:hAnsi="Times New Roman" w:cs="Times New Roman"/>
          <w:sz w:val="16"/>
          <w:szCs w:val="16"/>
          <w:lang w:val="vi-VN"/>
        </w:rPr>
        <w:t xml:space="preserve"> Cấm các sản phẩm thuốc lá làm nóng.</w:t>
      </w:r>
    </w:p>
  </w:footnote>
  <w:footnote w:id="10">
    <w:p w:rsidR="00932FC8" w:rsidRPr="00A677A8" w:rsidRDefault="00932FC8" w:rsidP="00932FC8">
      <w:pPr>
        <w:spacing w:after="0" w:line="240" w:lineRule="auto"/>
        <w:jc w:val="both"/>
        <w:rPr>
          <w:rFonts w:ascii="Times New Roman" w:hAnsi="Times New Roman" w:cs="Times New Roman"/>
          <w:sz w:val="16"/>
          <w:szCs w:val="16"/>
          <w:lang w:val="vi-VN"/>
        </w:rPr>
      </w:pPr>
      <w:r w:rsidRPr="00887B59">
        <w:rPr>
          <w:rStyle w:val="FootnoteReference"/>
          <w:rFonts w:ascii="Times New Roman" w:hAnsi="Times New Roman" w:cs="Times New Roman"/>
          <w:sz w:val="16"/>
          <w:szCs w:val="16"/>
        </w:rPr>
        <w:footnoteRef/>
      </w:r>
      <w:r w:rsidRPr="00A677A8">
        <w:rPr>
          <w:rFonts w:ascii="Times New Roman" w:hAnsi="Times New Roman" w:cs="Times New Roman"/>
          <w:b/>
          <w:sz w:val="16"/>
          <w:szCs w:val="16"/>
          <w:lang w:val="vi-VN"/>
        </w:rPr>
        <w:t>Tây Ban Nha</w:t>
      </w:r>
      <w:r w:rsidRPr="00A677A8">
        <w:rPr>
          <w:rFonts w:ascii="Times New Roman" w:hAnsi="Times New Roman" w:cs="Times New Roman"/>
          <w:sz w:val="16"/>
          <w:szCs w:val="16"/>
          <w:lang w:val="vi-VN"/>
        </w:rPr>
        <w:t xml:space="preserve">: </w:t>
      </w:r>
      <w:r w:rsidRPr="00887B59">
        <w:rPr>
          <w:rFonts w:ascii="Times New Roman" w:hAnsi="Times New Roman" w:cs="Times New Roman"/>
          <w:sz w:val="16"/>
          <w:szCs w:val="16"/>
          <w:lang w:val="vi-VN"/>
        </w:rPr>
        <w:t xml:space="preserve">Các sản phẩm thuốc lá được làm nóng được quy định là các sản phẩm thuốc lá mới theo Nghị định Hoàng gia </w:t>
      </w:r>
      <w:r w:rsidRPr="00A677A8">
        <w:rPr>
          <w:rFonts w:ascii="Times New Roman" w:hAnsi="Times New Roman" w:cs="Times New Roman"/>
          <w:sz w:val="16"/>
          <w:szCs w:val="16"/>
          <w:lang w:val="vi-VN"/>
        </w:rPr>
        <w:t xml:space="preserve">(Royal Decree) số </w:t>
      </w:r>
      <w:r w:rsidRPr="00887B59">
        <w:rPr>
          <w:rFonts w:ascii="Times New Roman" w:hAnsi="Times New Roman" w:cs="Times New Roman"/>
          <w:sz w:val="16"/>
          <w:szCs w:val="16"/>
          <w:lang w:val="vi-VN"/>
        </w:rPr>
        <w:t>579/2017, ngày 9 tháng 6 năm 2017. Do đó, Luật 28/2005 (Sanitary Measures Against Smoking, and Regulating the Sale, Supply, Consumption and Advertising of Tobacco Products)</w:t>
      </w:r>
      <w:r w:rsidRPr="00A677A8">
        <w:rPr>
          <w:rFonts w:ascii="Times New Roman" w:hAnsi="Times New Roman" w:cs="Times New Roman"/>
          <w:sz w:val="16"/>
          <w:szCs w:val="16"/>
          <w:lang w:val="vi-VN"/>
        </w:rPr>
        <w:t xml:space="preserve"> cũng áp dụng cho các sản phẩm thuốc lá làm nóng,</w:t>
      </w:r>
      <w:r w:rsidRPr="00887B59">
        <w:rPr>
          <w:rFonts w:ascii="Times New Roman" w:hAnsi="Times New Roman" w:cs="Times New Roman"/>
          <w:sz w:val="16"/>
          <w:szCs w:val="16"/>
          <w:lang w:val="vi-VN"/>
        </w:rPr>
        <w:t xml:space="preserve"> trong đó cấm bán, quảng cáo, khuyến mãi và tài trợ, và sử dụng ở những nơi công cộng.</w:t>
      </w:r>
    </w:p>
  </w:footnote>
  <w:footnote w:id="11">
    <w:p w:rsidR="00932FC8" w:rsidRPr="00A677A8" w:rsidRDefault="00932FC8" w:rsidP="00932FC8">
      <w:pPr>
        <w:pStyle w:val="FootnoteText"/>
        <w:rPr>
          <w:rFonts w:ascii="Times New Roman" w:hAnsi="Times New Roman" w:cs="Times New Roman"/>
          <w:sz w:val="16"/>
          <w:szCs w:val="16"/>
          <w:lang w:val="vi-VN"/>
        </w:rPr>
      </w:pPr>
      <w:r w:rsidRPr="00887B59">
        <w:rPr>
          <w:rStyle w:val="FootnoteReference"/>
          <w:rFonts w:ascii="Times New Roman" w:hAnsi="Times New Roman" w:cs="Times New Roman"/>
          <w:sz w:val="16"/>
          <w:szCs w:val="16"/>
        </w:rPr>
        <w:footnoteRef/>
      </w:r>
      <w:r w:rsidRPr="00A677A8">
        <w:rPr>
          <w:rFonts w:ascii="Times New Roman" w:hAnsi="Times New Roman" w:cs="Times New Roman"/>
          <w:b/>
          <w:sz w:val="16"/>
          <w:szCs w:val="16"/>
          <w:lang w:val="vi-VN"/>
        </w:rPr>
        <w:t>Timor-Leste:</w:t>
      </w:r>
      <w:r w:rsidRPr="00887B59">
        <w:rPr>
          <w:rFonts w:ascii="Times New Roman" w:hAnsi="Times New Roman" w:cs="Times New Roman"/>
          <w:sz w:val="16"/>
          <w:szCs w:val="16"/>
          <w:lang w:val="vi-VN"/>
        </w:rPr>
        <w:t>các sản phẩm thuốc lá được đun nóng được quy định bởi Nghị định-Luật N. º 14/2016</w:t>
      </w:r>
      <w:r w:rsidRPr="00A677A8">
        <w:rPr>
          <w:rFonts w:ascii="Times New Roman" w:hAnsi="Times New Roman" w:cs="Times New Roman"/>
          <w:sz w:val="16"/>
          <w:szCs w:val="16"/>
          <w:lang w:val="vi-VN"/>
        </w:rPr>
        <w:t>,</w:t>
      </w:r>
      <w:r w:rsidRPr="00887B59">
        <w:rPr>
          <w:rFonts w:ascii="Times New Roman" w:hAnsi="Times New Roman" w:cs="Times New Roman"/>
          <w:sz w:val="16"/>
          <w:szCs w:val="16"/>
          <w:lang w:val="vi-VN"/>
        </w:rPr>
        <w:t xml:space="preserve"> ngày 8 tháng 6 về Điều lệ kiểm soát thuốc lá, trong đó cấm bán, tiếp thị</w:t>
      </w:r>
      <w:r w:rsidRPr="00A677A8">
        <w:rPr>
          <w:rFonts w:ascii="Times New Roman" w:hAnsi="Times New Roman" w:cs="Times New Roman"/>
          <w:sz w:val="16"/>
          <w:szCs w:val="16"/>
          <w:lang w:val="vi-VN"/>
        </w:rPr>
        <w:t xml:space="preserve"> và kiểm soát </w:t>
      </w:r>
      <w:r w:rsidRPr="00887B59">
        <w:rPr>
          <w:rFonts w:ascii="Times New Roman" w:hAnsi="Times New Roman" w:cs="Times New Roman"/>
          <w:sz w:val="16"/>
          <w:szCs w:val="16"/>
          <w:lang w:val="vi-VN"/>
        </w:rPr>
        <w:t>sử dụng ở những nơi công cộng.</w:t>
      </w:r>
    </w:p>
  </w:footnote>
  <w:footnote w:id="12">
    <w:p w:rsidR="00932FC8" w:rsidRPr="00A677A8" w:rsidRDefault="00932FC8" w:rsidP="00932FC8">
      <w:pPr>
        <w:pStyle w:val="FootnoteText"/>
        <w:spacing w:line="276" w:lineRule="auto"/>
        <w:rPr>
          <w:rFonts w:ascii="Times New Roman" w:hAnsi="Times New Roman" w:cs="Times New Roman"/>
          <w:sz w:val="16"/>
          <w:szCs w:val="16"/>
          <w:lang w:val="vi-VN"/>
        </w:rPr>
      </w:pPr>
      <w:r w:rsidRPr="00887B59">
        <w:rPr>
          <w:rStyle w:val="FootnoteReference"/>
          <w:rFonts w:ascii="Times New Roman" w:hAnsi="Times New Roman" w:cs="Times New Roman"/>
          <w:sz w:val="16"/>
          <w:szCs w:val="16"/>
        </w:rPr>
        <w:footnoteRef/>
      </w:r>
      <w:r w:rsidRPr="00A677A8">
        <w:rPr>
          <w:rFonts w:ascii="Times New Roman" w:hAnsi="Times New Roman" w:cs="Times New Roman"/>
          <w:b/>
          <w:sz w:val="16"/>
          <w:szCs w:val="16"/>
          <w:lang w:val="vi-VN"/>
        </w:rPr>
        <w:t>Bồ Đào Nha:</w:t>
      </w:r>
      <w:r w:rsidRPr="00887B59">
        <w:rPr>
          <w:rFonts w:ascii="Times New Roman" w:hAnsi="Times New Roman" w:cs="Times New Roman"/>
          <w:sz w:val="16"/>
          <w:szCs w:val="16"/>
          <w:lang w:val="vi-VN"/>
        </w:rPr>
        <w:t xml:space="preserve">Thuế suất được áp dụng là mức tương tự như đối với thuốc lá </w:t>
      </w:r>
      <w:r w:rsidRPr="00A677A8">
        <w:rPr>
          <w:rFonts w:ascii="Times New Roman" w:hAnsi="Times New Roman" w:cs="Times New Roman"/>
          <w:sz w:val="16"/>
          <w:szCs w:val="16"/>
          <w:lang w:val="vi-VN"/>
        </w:rPr>
        <w:t>truyền thống</w:t>
      </w:r>
      <w:r w:rsidRPr="00887B59">
        <w:rPr>
          <w:rFonts w:ascii="Times New Roman" w:hAnsi="Times New Roman" w:cs="Times New Roman"/>
          <w:sz w:val="16"/>
          <w:szCs w:val="16"/>
          <w:lang w:val="vi-VN"/>
        </w:rPr>
        <w:t>. Thuế</w:t>
      </w:r>
      <w:r w:rsidRPr="00A677A8">
        <w:rPr>
          <w:rFonts w:ascii="Times New Roman" w:hAnsi="Times New Roman" w:cs="Times New Roman"/>
          <w:sz w:val="16"/>
          <w:szCs w:val="16"/>
          <w:lang w:val="vi-VN"/>
        </w:rPr>
        <w:t xml:space="preserve"> áp dụng bao gồmthuế tương đối 1</w:t>
      </w:r>
      <w:r w:rsidRPr="00887B59">
        <w:rPr>
          <w:rFonts w:ascii="Times New Roman" w:hAnsi="Times New Roman" w:cs="Times New Roman"/>
          <w:sz w:val="16"/>
          <w:szCs w:val="16"/>
          <w:lang w:val="vi-VN"/>
        </w:rPr>
        <w:t>5% và thuế 0,080 euro / g);</w:t>
      </w:r>
    </w:p>
  </w:footnote>
  <w:footnote w:id="13">
    <w:p w:rsidR="00932FC8" w:rsidRPr="00A677A8" w:rsidRDefault="00932FC8" w:rsidP="00932FC8">
      <w:pPr>
        <w:pStyle w:val="FootnoteText"/>
        <w:spacing w:line="276" w:lineRule="auto"/>
        <w:rPr>
          <w:rFonts w:ascii="Times New Roman" w:hAnsi="Times New Roman" w:cs="Times New Roman"/>
          <w:sz w:val="16"/>
          <w:szCs w:val="16"/>
          <w:lang w:val="vi-VN"/>
        </w:rPr>
      </w:pPr>
      <w:r w:rsidRPr="00887B59">
        <w:rPr>
          <w:rStyle w:val="FootnoteReference"/>
          <w:rFonts w:ascii="Times New Roman" w:hAnsi="Times New Roman" w:cs="Times New Roman"/>
          <w:sz w:val="16"/>
          <w:szCs w:val="16"/>
        </w:rPr>
        <w:footnoteRef/>
      </w:r>
      <w:r w:rsidRPr="00A677A8">
        <w:rPr>
          <w:rFonts w:ascii="Times New Roman" w:hAnsi="Times New Roman" w:cs="Times New Roman"/>
          <w:b/>
          <w:sz w:val="16"/>
          <w:szCs w:val="16"/>
          <w:lang w:val="vi-VN"/>
        </w:rPr>
        <w:t xml:space="preserve"> Wales</w:t>
      </w:r>
      <w:r w:rsidRPr="00A677A8">
        <w:rPr>
          <w:rFonts w:ascii="Times New Roman" w:hAnsi="Times New Roman" w:cs="Times New Roman"/>
          <w:sz w:val="16"/>
          <w:szCs w:val="16"/>
          <w:lang w:val="vi-VN"/>
        </w:rPr>
        <w:t xml:space="preserve">: </w:t>
      </w:r>
      <w:r w:rsidRPr="00887B59">
        <w:rPr>
          <w:rFonts w:ascii="Times New Roman" w:hAnsi="Times New Roman" w:cs="Times New Roman"/>
          <w:sz w:val="16"/>
          <w:szCs w:val="16"/>
          <w:lang w:val="vi-VN"/>
        </w:rPr>
        <w:t xml:space="preserve">Các sản phẩm thuốc lá được làm nóng được đánh thuế ở mức tương tự như thuốc lá cuộn cầm tay, hiện ở mức £ 233,79 mỗi kg, và áp dụng </w:t>
      </w:r>
      <w:r w:rsidRPr="00A677A8">
        <w:rPr>
          <w:rFonts w:ascii="Times New Roman" w:hAnsi="Times New Roman" w:cs="Times New Roman"/>
          <w:sz w:val="16"/>
          <w:szCs w:val="16"/>
          <w:lang w:val="vi-VN"/>
        </w:rPr>
        <w:t>t</w:t>
      </w:r>
      <w:r w:rsidRPr="00887B59">
        <w:rPr>
          <w:rFonts w:ascii="Times New Roman" w:hAnsi="Times New Roman" w:cs="Times New Roman"/>
          <w:sz w:val="16"/>
          <w:szCs w:val="16"/>
          <w:lang w:val="vi-VN"/>
        </w:rPr>
        <w:t>huế giá trị gia tăng 20% giá bán lẻ.</w:t>
      </w:r>
    </w:p>
  </w:footnote>
  <w:footnote w:id="14">
    <w:p w:rsidR="00932FC8" w:rsidRPr="00A677A8" w:rsidRDefault="00932FC8" w:rsidP="00932FC8">
      <w:pPr>
        <w:pStyle w:val="FootnoteText"/>
        <w:tabs>
          <w:tab w:val="left" w:pos="1712"/>
        </w:tabs>
        <w:spacing w:line="276" w:lineRule="auto"/>
        <w:rPr>
          <w:rFonts w:ascii="Times New Roman" w:hAnsi="Times New Roman" w:cs="Times New Roman"/>
          <w:sz w:val="16"/>
          <w:szCs w:val="16"/>
          <w:lang w:val="vi-VN"/>
        </w:rPr>
      </w:pPr>
      <w:r w:rsidRPr="00887B59">
        <w:rPr>
          <w:rStyle w:val="FootnoteReference"/>
          <w:rFonts w:ascii="Times New Roman" w:hAnsi="Times New Roman" w:cs="Times New Roman"/>
          <w:sz w:val="16"/>
          <w:szCs w:val="16"/>
        </w:rPr>
        <w:footnoteRef/>
      </w:r>
      <w:r w:rsidRPr="00A677A8">
        <w:rPr>
          <w:rFonts w:ascii="Times New Roman" w:hAnsi="Times New Roman" w:cs="Times New Roman"/>
          <w:b/>
          <w:sz w:val="16"/>
          <w:szCs w:val="16"/>
          <w:lang w:val="vi-VN"/>
        </w:rPr>
        <w:t xml:space="preserve"> Georgia</w:t>
      </w:r>
      <w:r w:rsidRPr="00A677A8">
        <w:rPr>
          <w:rFonts w:ascii="Times New Roman" w:hAnsi="Times New Roman" w:cs="Times New Roman"/>
          <w:sz w:val="16"/>
          <w:szCs w:val="16"/>
          <w:lang w:val="vi-VN"/>
        </w:rPr>
        <w:t>: cấm sử dụng thuốc lá làm nóng ở các địa điểm công cộng và phương tiện giao thông.</w:t>
      </w:r>
    </w:p>
  </w:footnote>
  <w:footnote w:id="15">
    <w:p w:rsidR="00932FC8" w:rsidRPr="00A677A8" w:rsidRDefault="00932FC8" w:rsidP="00932FC8">
      <w:pPr>
        <w:pStyle w:val="FootnoteText"/>
        <w:spacing w:line="276" w:lineRule="auto"/>
        <w:rPr>
          <w:rFonts w:ascii="Times New Roman" w:hAnsi="Times New Roman" w:cs="Times New Roman"/>
          <w:sz w:val="16"/>
          <w:szCs w:val="16"/>
          <w:lang w:val="vi-VN"/>
        </w:rPr>
      </w:pPr>
      <w:r w:rsidRPr="00887B59">
        <w:rPr>
          <w:rStyle w:val="FootnoteReference"/>
          <w:rFonts w:ascii="Times New Roman" w:hAnsi="Times New Roman" w:cs="Times New Roman"/>
          <w:sz w:val="16"/>
          <w:szCs w:val="16"/>
        </w:rPr>
        <w:footnoteRef/>
      </w:r>
      <w:r w:rsidRPr="00A677A8">
        <w:rPr>
          <w:rFonts w:ascii="Times New Roman" w:hAnsi="Times New Roman" w:cs="Times New Roman"/>
          <w:b/>
          <w:sz w:val="16"/>
          <w:szCs w:val="16"/>
          <w:lang w:val="vi-VN"/>
        </w:rPr>
        <w:t>Đức</w:t>
      </w:r>
      <w:r w:rsidRPr="00A677A8">
        <w:rPr>
          <w:rFonts w:ascii="Times New Roman" w:hAnsi="Times New Roman" w:cs="Times New Roman"/>
          <w:sz w:val="16"/>
          <w:szCs w:val="16"/>
          <w:lang w:val="vi-VN"/>
        </w:rPr>
        <w:t>: đánh thuế thuốc lá làm nóng giống thuốc lá hút tẩu (pipe)</w:t>
      </w:r>
    </w:p>
  </w:footnote>
  <w:footnote w:id="16">
    <w:p w:rsidR="00932FC8" w:rsidRPr="00A677A8" w:rsidRDefault="00932FC8" w:rsidP="00932FC8">
      <w:pPr>
        <w:pStyle w:val="FootnoteText"/>
        <w:spacing w:line="276" w:lineRule="auto"/>
        <w:rPr>
          <w:rFonts w:ascii="Times New Roman" w:hAnsi="Times New Roman" w:cs="Times New Roman"/>
          <w:sz w:val="16"/>
          <w:szCs w:val="16"/>
          <w:lang w:val="vi-VN"/>
        </w:rPr>
      </w:pPr>
      <w:r w:rsidRPr="00887B59">
        <w:rPr>
          <w:rStyle w:val="FootnoteReference"/>
          <w:rFonts w:ascii="Times New Roman" w:hAnsi="Times New Roman" w:cs="Times New Roman"/>
          <w:sz w:val="16"/>
          <w:szCs w:val="16"/>
        </w:rPr>
        <w:footnoteRef/>
      </w:r>
      <w:r w:rsidRPr="00A677A8">
        <w:rPr>
          <w:rFonts w:ascii="Times New Roman" w:hAnsi="Times New Roman" w:cs="Times New Roman"/>
          <w:b/>
          <w:sz w:val="16"/>
          <w:szCs w:val="16"/>
          <w:lang w:val="vi-VN"/>
        </w:rPr>
        <w:t>Scotland:</w:t>
      </w:r>
      <w:r w:rsidRPr="00A677A8">
        <w:rPr>
          <w:rFonts w:ascii="Times New Roman" w:hAnsi="Times New Roman" w:cs="Times New Roman"/>
          <w:sz w:val="16"/>
          <w:szCs w:val="16"/>
          <w:lang w:val="vi-VN"/>
        </w:rPr>
        <w:t xml:space="preserve"> quy định về thông báo và in cảnh báo sức khỏe theo Chỉ thị EU, bên cạnh đó cấm quảng cáo và trưng bày</w:t>
      </w:r>
    </w:p>
  </w:footnote>
  <w:footnote w:id="17">
    <w:p w:rsidR="00932FC8" w:rsidRPr="00A677A8" w:rsidRDefault="00932FC8" w:rsidP="00932FC8">
      <w:pPr>
        <w:pStyle w:val="FootnoteText"/>
        <w:spacing w:line="276" w:lineRule="auto"/>
        <w:rPr>
          <w:rFonts w:ascii="Times New Roman" w:hAnsi="Times New Roman" w:cs="Times New Roman"/>
          <w:sz w:val="16"/>
          <w:szCs w:val="16"/>
          <w:lang w:val="vi-VN"/>
        </w:rPr>
      </w:pPr>
      <w:r w:rsidRPr="00887B59">
        <w:rPr>
          <w:rStyle w:val="FootnoteReference"/>
          <w:rFonts w:ascii="Times New Roman" w:hAnsi="Times New Roman" w:cs="Times New Roman"/>
          <w:sz w:val="16"/>
          <w:szCs w:val="16"/>
        </w:rPr>
        <w:footnoteRef/>
      </w:r>
      <w:r w:rsidRPr="00A677A8">
        <w:rPr>
          <w:rFonts w:ascii="Times New Roman" w:hAnsi="Times New Roman" w:cs="Times New Roman"/>
          <w:b/>
          <w:sz w:val="16"/>
          <w:szCs w:val="16"/>
          <w:lang w:val="vi-VN"/>
        </w:rPr>
        <w:t>Nhật Bản:</w:t>
      </w:r>
      <w:r w:rsidRPr="00A677A8">
        <w:rPr>
          <w:rFonts w:ascii="Times New Roman" w:hAnsi="Times New Roman" w:cs="Times New Roman"/>
          <w:sz w:val="16"/>
          <w:szCs w:val="16"/>
          <w:lang w:val="vi-VN"/>
        </w:rPr>
        <w:t xml:space="preserve"> thuốc lá làm nóng bị cấm sử dụng ở một số địa điểm, và bị đánh thuế giống thuốc lá hút tẩu (pipe), cấm bán cho người chưa vị thành niên. </w:t>
      </w:r>
    </w:p>
  </w:footnote>
  <w:footnote w:id="18">
    <w:p w:rsidR="00932FC8" w:rsidRPr="00A677A8" w:rsidRDefault="00932FC8" w:rsidP="00932FC8">
      <w:pPr>
        <w:pStyle w:val="FootnoteText"/>
        <w:rPr>
          <w:rFonts w:ascii="Times New Roman" w:hAnsi="Times New Roman" w:cs="Times New Roman"/>
          <w:sz w:val="16"/>
          <w:szCs w:val="16"/>
          <w:lang w:val="vi-VN"/>
        </w:rPr>
      </w:pPr>
      <w:r w:rsidRPr="00887B59">
        <w:rPr>
          <w:rStyle w:val="FootnoteReference"/>
          <w:rFonts w:ascii="Times New Roman" w:hAnsi="Times New Roman" w:cs="Times New Roman"/>
          <w:sz w:val="16"/>
          <w:szCs w:val="16"/>
        </w:rPr>
        <w:footnoteRef/>
      </w:r>
      <w:r w:rsidRPr="00A677A8">
        <w:rPr>
          <w:rFonts w:ascii="Times New Roman" w:hAnsi="Times New Roman" w:cs="Times New Roman"/>
          <w:b/>
          <w:sz w:val="16"/>
          <w:szCs w:val="16"/>
          <w:lang w:val="vi-VN"/>
        </w:rPr>
        <w:t>New Zealand:</w:t>
      </w:r>
      <w:r w:rsidRPr="00A677A8">
        <w:rPr>
          <w:rFonts w:ascii="Times New Roman" w:hAnsi="Times New Roman" w:cs="Times New Roman"/>
          <w:sz w:val="16"/>
          <w:szCs w:val="16"/>
          <w:lang w:val="vi-VN"/>
        </w:rPr>
        <w:t xml:space="preserve"> cấm bán, quảng cáo cho trẻ vị thành niên.</w:t>
      </w:r>
    </w:p>
  </w:footnote>
  <w:footnote w:id="19">
    <w:p w:rsidR="00932FC8" w:rsidRPr="00274418" w:rsidRDefault="00932FC8" w:rsidP="00932FC8">
      <w:pPr>
        <w:pStyle w:val="FootnoteText"/>
        <w:rPr>
          <w:rFonts w:ascii="Times New Roman" w:hAnsi="Times New Roman" w:cs="Times New Roman"/>
          <w:sz w:val="16"/>
          <w:szCs w:val="16"/>
          <w:lang w:val="vi-VN"/>
        </w:rPr>
      </w:pPr>
      <w:r w:rsidRPr="00887B59">
        <w:rPr>
          <w:rStyle w:val="FootnoteReference"/>
          <w:rFonts w:ascii="Times New Roman" w:hAnsi="Times New Roman" w:cs="Times New Roman"/>
          <w:sz w:val="16"/>
          <w:szCs w:val="16"/>
        </w:rPr>
        <w:footnoteRef/>
      </w:r>
      <w:r w:rsidRPr="00A677A8">
        <w:rPr>
          <w:rFonts w:ascii="Times New Roman" w:hAnsi="Times New Roman" w:cs="Times New Roman"/>
          <w:b/>
          <w:sz w:val="16"/>
          <w:szCs w:val="16"/>
          <w:lang w:val="vi-VN"/>
        </w:rPr>
        <w:t>Ba Lan</w:t>
      </w:r>
      <w:r w:rsidRPr="00A677A8">
        <w:rPr>
          <w:rFonts w:ascii="Times New Roman" w:hAnsi="Times New Roman" w:cs="Times New Roman"/>
          <w:sz w:val="16"/>
          <w:szCs w:val="16"/>
          <w:lang w:val="vi-VN"/>
        </w:rPr>
        <w:t>: mức thuế</w:t>
      </w:r>
      <w:r w:rsidRPr="00887B59">
        <w:rPr>
          <w:rFonts w:ascii="Times New Roman" w:hAnsi="Times New Roman" w:cs="Times New Roman"/>
          <w:sz w:val="16"/>
          <w:szCs w:val="16"/>
          <w:lang w:val="vi-VN"/>
        </w:rPr>
        <w:t xml:space="preserve"> 1141,29</w:t>
      </w:r>
      <w:r w:rsidRPr="00A677A8">
        <w:rPr>
          <w:rFonts w:ascii="Times New Roman" w:hAnsi="Times New Roman" w:cs="Times New Roman"/>
          <w:sz w:val="16"/>
          <w:szCs w:val="16"/>
          <w:lang w:val="vi-VN"/>
        </w:rPr>
        <w:t xml:space="preserve">Polish </w:t>
      </w:r>
      <w:r w:rsidRPr="00887B59">
        <w:rPr>
          <w:rFonts w:ascii="Times New Roman" w:hAnsi="Times New Roman" w:cs="Times New Roman"/>
          <w:sz w:val="16"/>
          <w:szCs w:val="16"/>
          <w:lang w:val="vi-VN"/>
        </w:rPr>
        <w:t>Zloty mỗi kg và 31,41% giá bán lẻ trung bình được áp dụng cho các sản phẩm thuốc lá làm nóng.</w:t>
      </w:r>
    </w:p>
    <w:p w:rsidR="00932FC8" w:rsidRPr="00932FC8" w:rsidRDefault="00932FC8" w:rsidP="00932FC8">
      <w:pPr>
        <w:pStyle w:val="FootnoteText"/>
        <w:rPr>
          <w:rFonts w:ascii="Times New Roman" w:hAnsi="Times New Roman" w:cs="Times New Roman"/>
          <w:sz w:val="16"/>
          <w:szCs w:val="16"/>
          <w:lang w:val="vi-VN"/>
        </w:rPr>
      </w:pPr>
    </w:p>
    <w:p w:rsidR="00932FC8" w:rsidRPr="00932FC8" w:rsidRDefault="00932FC8" w:rsidP="00932FC8">
      <w:pPr>
        <w:pStyle w:val="FootnoteText"/>
        <w:rPr>
          <w:rFonts w:ascii="Times New Roman" w:hAnsi="Times New Roman" w:cs="Times New Roman"/>
          <w:sz w:val="16"/>
          <w:szCs w:val="16"/>
          <w:lang w:val="vi-VN"/>
        </w:rPr>
      </w:pPr>
    </w:p>
    <w:p w:rsidR="002A2E2A" w:rsidRPr="002A2E2A" w:rsidRDefault="002A2E2A" w:rsidP="002A2E2A">
      <w:pPr>
        <w:spacing w:after="0" w:line="240" w:lineRule="auto"/>
        <w:rPr>
          <w:rFonts w:ascii="Times New Roman" w:hAnsi="Times New Roman" w:cs="Times New Roman"/>
          <w:b/>
          <w:sz w:val="28"/>
          <w:szCs w:val="28"/>
          <w:lang w:val="vi-VN"/>
        </w:rPr>
      </w:pPr>
      <w:r w:rsidRPr="002A2E2A">
        <w:rPr>
          <w:rFonts w:ascii="Times New Roman" w:hAnsi="Times New Roman" w:cs="Times New Roman"/>
          <w:b/>
          <w:sz w:val="28"/>
          <w:szCs w:val="28"/>
          <w:lang w:val="vi-VN"/>
        </w:rPr>
        <w:t xml:space="preserve">Khuyến cáo của WHO về thuốc lá làm nóng (HTPs) </w:t>
      </w:r>
    </w:p>
    <w:p w:rsidR="002A2E2A" w:rsidRPr="002A2E2A" w:rsidRDefault="002A2E2A" w:rsidP="002A2E2A">
      <w:pPr>
        <w:pStyle w:val="ListParagraph"/>
        <w:numPr>
          <w:ilvl w:val="0"/>
          <w:numId w:val="6"/>
        </w:numPr>
        <w:spacing w:after="0" w:line="240" w:lineRule="auto"/>
        <w:jc w:val="both"/>
        <w:rPr>
          <w:rFonts w:ascii="Times New Roman" w:hAnsi="Times New Roman" w:cs="Times New Roman"/>
          <w:sz w:val="28"/>
          <w:szCs w:val="28"/>
        </w:rPr>
      </w:pPr>
      <w:r w:rsidRPr="002A2E2A">
        <w:rPr>
          <w:rFonts w:ascii="Times New Roman" w:hAnsi="Times New Roman" w:cs="Times New Roman"/>
          <w:sz w:val="28"/>
          <w:szCs w:val="28"/>
        </w:rPr>
        <w:t xml:space="preserve">Thuốc nung chứa sợi lá thuốc nên được kiểm soát như thuốc lá </w:t>
      </w:r>
    </w:p>
    <w:p w:rsidR="002A2E2A" w:rsidRPr="002A2E2A" w:rsidRDefault="002A2E2A" w:rsidP="002A2E2A">
      <w:pPr>
        <w:pStyle w:val="ListParagraph"/>
        <w:numPr>
          <w:ilvl w:val="0"/>
          <w:numId w:val="6"/>
        </w:numPr>
        <w:spacing w:after="0" w:line="240" w:lineRule="auto"/>
        <w:jc w:val="both"/>
        <w:rPr>
          <w:rFonts w:ascii="Times New Roman" w:hAnsi="Times New Roman" w:cs="Times New Roman"/>
          <w:sz w:val="28"/>
          <w:szCs w:val="28"/>
        </w:rPr>
      </w:pPr>
      <w:r w:rsidRPr="002A2E2A">
        <w:rPr>
          <w:rFonts w:ascii="Times New Roman" w:hAnsi="Times New Roman" w:cs="Times New Roman"/>
          <w:sz w:val="28"/>
          <w:szCs w:val="28"/>
        </w:rPr>
        <w:t>Thuốc nung tạo ra chất khí độc hại, có nhiều chất độc giống như trong khói thuốc lá</w:t>
      </w:r>
    </w:p>
    <w:p w:rsidR="00932FC8" w:rsidRPr="002A2E2A" w:rsidRDefault="002A2E2A" w:rsidP="002A2E2A">
      <w:pPr>
        <w:pStyle w:val="FootnoteText"/>
        <w:numPr>
          <w:ilvl w:val="0"/>
          <w:numId w:val="6"/>
        </w:numPr>
        <w:jc w:val="both"/>
        <w:rPr>
          <w:rFonts w:ascii="Times New Roman" w:hAnsi="Times New Roman" w:cs="Times New Roman"/>
          <w:sz w:val="28"/>
          <w:szCs w:val="28"/>
        </w:rPr>
      </w:pPr>
      <w:r w:rsidRPr="002A2E2A">
        <w:rPr>
          <w:rFonts w:ascii="Times New Roman" w:hAnsi="Times New Roman" w:cs="Times New Roman"/>
          <w:sz w:val="28"/>
          <w:szCs w:val="28"/>
        </w:rPr>
        <w:t>Khói thuốc nung ngoài gây hại cho người hút thì còn gây tác hại cho người xung quanh do hút thuốc thụ động</w:t>
      </w:r>
    </w:p>
    <w:p w:rsidR="00932FC8" w:rsidRDefault="002A2E2A" w:rsidP="002A2E2A">
      <w:pPr>
        <w:pStyle w:val="FootnoteText"/>
        <w:numPr>
          <w:ilvl w:val="0"/>
          <w:numId w:val="6"/>
        </w:numPr>
        <w:jc w:val="both"/>
        <w:rPr>
          <w:rFonts w:ascii="Times New Roman" w:hAnsi="Times New Roman" w:cs="Times New Roman"/>
          <w:sz w:val="28"/>
          <w:szCs w:val="28"/>
        </w:rPr>
      </w:pPr>
      <w:r w:rsidRPr="002A2E2A">
        <w:rPr>
          <w:rFonts w:ascii="Times New Roman" w:hAnsi="Times New Roman" w:cs="Times New Roman"/>
          <w:sz w:val="28"/>
          <w:szCs w:val="28"/>
        </w:rPr>
        <w:t>Thuốc nung chưa nicotine. Nicotine là chất gậy nghiện mạnh và có hại cho sức khỏe, đặc biệt đối với trẻ em, vị thành niên và phụ nữ có thai</w:t>
      </w:r>
    </w:p>
    <w:p w:rsidR="002A2E2A" w:rsidRPr="002A2E2A" w:rsidRDefault="002A2E2A" w:rsidP="002A2E2A">
      <w:pPr>
        <w:pStyle w:val="FootnoteText"/>
        <w:ind w:left="720"/>
        <w:jc w:val="both"/>
        <w:rPr>
          <w:rFonts w:ascii="Times New Roman" w:hAnsi="Times New Roman" w:cs="Times New Roman"/>
          <w:sz w:val="28"/>
          <w:szCs w:val="28"/>
        </w:rPr>
      </w:pPr>
    </w:p>
    <w:tbl>
      <w:tblPr>
        <w:tblStyle w:val="TableGrid"/>
        <w:tblW w:w="0" w:type="auto"/>
        <w:jc w:val="center"/>
        <w:tblLook w:val="04A0"/>
      </w:tblPr>
      <w:tblGrid>
        <w:gridCol w:w="9576"/>
      </w:tblGrid>
      <w:tr w:rsidR="002A2E2A" w:rsidTr="002A2E2A">
        <w:trPr>
          <w:jc w:val="center"/>
        </w:trPr>
        <w:tc>
          <w:tcPr>
            <w:tcW w:w="9576" w:type="dxa"/>
          </w:tcPr>
          <w:p w:rsidR="002A2E2A" w:rsidRPr="002A2E2A" w:rsidRDefault="002A2E2A" w:rsidP="002A2E2A">
            <w:pPr>
              <w:pStyle w:val="FootnoteText"/>
              <w:jc w:val="center"/>
              <w:rPr>
                <w:rFonts w:ascii="Times New Roman" w:hAnsi="Times New Roman" w:cs="Times New Roman"/>
                <w:b/>
                <w:bCs/>
                <w:sz w:val="18"/>
                <w:szCs w:val="28"/>
              </w:rPr>
            </w:pPr>
          </w:p>
          <w:p w:rsidR="002A2E2A" w:rsidRPr="002A2E2A" w:rsidRDefault="002A2E2A" w:rsidP="002A2E2A">
            <w:pPr>
              <w:pStyle w:val="FootnoteText"/>
              <w:jc w:val="center"/>
              <w:rPr>
                <w:rFonts w:ascii="Times New Roman" w:hAnsi="Times New Roman" w:cs="Times New Roman"/>
                <w:b/>
                <w:sz w:val="28"/>
                <w:szCs w:val="28"/>
                <w:lang w:val="vi-VN"/>
              </w:rPr>
            </w:pPr>
            <w:r w:rsidRPr="002A2E2A">
              <w:rPr>
                <w:rFonts w:ascii="Times New Roman" w:hAnsi="Times New Roman" w:cs="Times New Roman"/>
                <w:b/>
                <w:bCs/>
                <w:sz w:val="28"/>
                <w:szCs w:val="28"/>
              </w:rPr>
              <w:t xml:space="preserve">Thuốc lá điện tử, thuốc lá làm nóng, Shisha </w:t>
            </w:r>
            <w:r w:rsidRPr="002A2E2A">
              <w:rPr>
                <w:rFonts w:ascii="Times New Roman" w:hAnsi="Times New Roman" w:cs="Times New Roman"/>
                <w:b/>
                <w:sz w:val="28"/>
                <w:szCs w:val="28"/>
              </w:rPr>
              <w:br/>
              <w:t xml:space="preserve">không phải là giải pháp cho </w:t>
            </w:r>
            <w:r w:rsidR="00205A5D">
              <w:rPr>
                <w:rFonts w:ascii="Times New Roman" w:hAnsi="Times New Roman" w:cs="Times New Roman"/>
                <w:b/>
                <w:sz w:val="28"/>
                <w:szCs w:val="28"/>
              </w:rPr>
              <w:t xml:space="preserve">việc </w:t>
            </w:r>
            <w:r w:rsidRPr="002A2E2A">
              <w:rPr>
                <w:rFonts w:ascii="Times New Roman" w:hAnsi="Times New Roman" w:cs="Times New Roman"/>
                <w:b/>
                <w:sz w:val="28"/>
                <w:szCs w:val="28"/>
              </w:rPr>
              <w:t>cai nghiện thuốc lá</w:t>
            </w:r>
          </w:p>
          <w:p w:rsidR="002A2E2A" w:rsidRPr="002A2E2A" w:rsidRDefault="002A2E2A" w:rsidP="002A2E2A">
            <w:pPr>
              <w:pStyle w:val="FootnoteText"/>
              <w:rPr>
                <w:rFonts w:ascii="Times New Roman" w:hAnsi="Times New Roman" w:cs="Times New Roman"/>
                <w:b/>
                <w:bCs/>
                <w:sz w:val="22"/>
                <w:szCs w:val="28"/>
              </w:rPr>
            </w:pPr>
          </w:p>
        </w:tc>
      </w:tr>
    </w:tbl>
    <w:p w:rsidR="002A2E2A" w:rsidRDefault="002A2E2A" w:rsidP="00932FC8">
      <w:pPr>
        <w:pStyle w:val="FootnoteText"/>
        <w:rPr>
          <w:rFonts w:ascii="Times New Roman" w:hAnsi="Times New Roman" w:cs="Times New Roman"/>
          <w:b/>
          <w:bCs/>
          <w:sz w:val="16"/>
          <w:szCs w:val="16"/>
        </w:rPr>
      </w:pPr>
    </w:p>
    <w:p w:rsidR="002A2E2A" w:rsidRDefault="002A2E2A" w:rsidP="00932FC8">
      <w:pPr>
        <w:pStyle w:val="FootnoteText"/>
        <w:rPr>
          <w:rFonts w:ascii="Times New Roman" w:hAnsi="Times New Roman" w:cs="Times New Roman"/>
          <w:b/>
          <w:bCs/>
          <w:sz w:val="16"/>
          <w:szCs w:val="16"/>
        </w:rPr>
      </w:pPr>
    </w:p>
    <w:p w:rsidR="00932FC8" w:rsidRPr="00932FC8" w:rsidRDefault="00932FC8" w:rsidP="00932FC8">
      <w:pPr>
        <w:pStyle w:val="FootnoteText"/>
        <w:rPr>
          <w:rFonts w:ascii="Times New Roman" w:hAnsi="Times New Roman" w:cs="Times New Roman"/>
          <w:sz w:val="16"/>
          <w:szCs w:val="16"/>
          <w:lang w:val="vi-VN"/>
        </w:rPr>
      </w:pPr>
    </w:p>
    <w:p w:rsidR="00932FC8" w:rsidRPr="00932FC8" w:rsidRDefault="00932FC8" w:rsidP="00932FC8">
      <w:pPr>
        <w:pStyle w:val="FootnoteText"/>
        <w:rPr>
          <w:rFonts w:ascii="Times New Roman" w:hAnsi="Times New Roman" w:cs="Times New Roman"/>
          <w:sz w:val="16"/>
          <w:szCs w:val="16"/>
          <w:lang w:val="vi-VN"/>
        </w:rPr>
      </w:pPr>
    </w:p>
    <w:p w:rsidR="00932FC8" w:rsidRPr="00932FC8" w:rsidRDefault="00932FC8" w:rsidP="00932FC8">
      <w:pPr>
        <w:pStyle w:val="FootnoteText"/>
        <w:rPr>
          <w:rFonts w:ascii="Times New Roman" w:hAnsi="Times New Roman" w:cs="Times New Roman"/>
          <w:sz w:val="16"/>
          <w:szCs w:val="16"/>
          <w:lang w:val="vi-VN"/>
        </w:rPr>
      </w:pPr>
    </w:p>
    <w:p w:rsidR="00932FC8" w:rsidRPr="00932FC8" w:rsidRDefault="00932FC8" w:rsidP="00932FC8">
      <w:pPr>
        <w:pStyle w:val="FootnoteText"/>
        <w:rPr>
          <w:rFonts w:ascii="Times New Roman" w:hAnsi="Times New Roman" w:cs="Times New Roman"/>
          <w:sz w:val="16"/>
          <w:szCs w:val="16"/>
          <w:lang w:val="vi-VN"/>
        </w:rPr>
      </w:pPr>
    </w:p>
    <w:p w:rsidR="00932FC8" w:rsidRPr="00932FC8" w:rsidRDefault="00932FC8" w:rsidP="00932FC8">
      <w:pPr>
        <w:pStyle w:val="FootnoteText"/>
        <w:rPr>
          <w:rFonts w:ascii="Times New Roman" w:hAnsi="Times New Roman" w:cs="Times New Roman"/>
          <w:sz w:val="16"/>
          <w:szCs w:val="16"/>
          <w:lang w:val="vi-VN"/>
        </w:rPr>
      </w:pPr>
    </w:p>
    <w:p w:rsidR="00932FC8" w:rsidRPr="00932FC8" w:rsidRDefault="00932FC8" w:rsidP="00932FC8">
      <w:pPr>
        <w:pStyle w:val="FootnoteText"/>
        <w:rPr>
          <w:rFonts w:ascii="Times New Roman" w:hAnsi="Times New Roman" w:cs="Times New Roman"/>
          <w:sz w:val="16"/>
          <w:szCs w:val="16"/>
          <w:lang w:val="vi-VN"/>
        </w:rPr>
      </w:pPr>
    </w:p>
    <w:p w:rsidR="00932FC8" w:rsidRPr="00932FC8" w:rsidRDefault="00932FC8" w:rsidP="00932FC8">
      <w:pPr>
        <w:pStyle w:val="FootnoteText"/>
        <w:rPr>
          <w:rFonts w:ascii="Times New Roman" w:hAnsi="Times New Roman" w:cs="Times New Roman"/>
          <w:sz w:val="16"/>
          <w:szCs w:val="16"/>
          <w:lang w:val="vi-VN"/>
        </w:rPr>
      </w:pPr>
    </w:p>
    <w:p w:rsidR="00932FC8" w:rsidRPr="00932FC8" w:rsidRDefault="00932FC8" w:rsidP="00932FC8">
      <w:pPr>
        <w:pStyle w:val="FootnoteText"/>
        <w:rPr>
          <w:rFonts w:ascii="Times New Roman" w:hAnsi="Times New Roman" w:cs="Times New Roman"/>
          <w:sz w:val="16"/>
          <w:szCs w:val="16"/>
          <w:lang w:val="vi-VN"/>
        </w:rPr>
      </w:pPr>
    </w:p>
    <w:p w:rsidR="00932FC8" w:rsidRPr="00932FC8" w:rsidRDefault="00932FC8" w:rsidP="00932FC8">
      <w:pPr>
        <w:pStyle w:val="FootnoteText"/>
        <w:rPr>
          <w:rFonts w:ascii="Times New Roman" w:hAnsi="Times New Roman" w:cs="Times New Roman"/>
          <w:sz w:val="16"/>
          <w:szCs w:val="16"/>
          <w:lang w:val="vi-VN"/>
        </w:rPr>
      </w:pPr>
    </w:p>
    <w:p w:rsidR="00932FC8" w:rsidRPr="00932FC8" w:rsidRDefault="00932FC8" w:rsidP="00932FC8">
      <w:pPr>
        <w:pStyle w:val="FootnoteText"/>
        <w:rPr>
          <w:rFonts w:ascii="Times New Roman" w:hAnsi="Times New Roman" w:cs="Times New Roman"/>
          <w:sz w:val="16"/>
          <w:szCs w:val="16"/>
          <w:lang w:val="vi-VN"/>
        </w:rPr>
      </w:pPr>
    </w:p>
    <w:p w:rsidR="00932FC8" w:rsidRPr="00932FC8" w:rsidRDefault="00932FC8" w:rsidP="00932FC8">
      <w:pPr>
        <w:pStyle w:val="FootnoteText"/>
        <w:rPr>
          <w:rFonts w:ascii="Times New Roman" w:hAnsi="Times New Roman" w:cs="Times New Roman"/>
          <w:sz w:val="16"/>
          <w:szCs w:val="16"/>
          <w:lang w:val="vi-V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F54E2"/>
    <w:multiLevelType w:val="hybridMultilevel"/>
    <w:tmpl w:val="395CE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97170"/>
    <w:multiLevelType w:val="hybridMultilevel"/>
    <w:tmpl w:val="42EEFC1C"/>
    <w:lvl w:ilvl="0" w:tplc="B0E6DF76">
      <w:start w:val="6"/>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64297"/>
    <w:multiLevelType w:val="hybridMultilevel"/>
    <w:tmpl w:val="AC9EA6CA"/>
    <w:lvl w:ilvl="0" w:tplc="0CD6F1BC">
      <w:start w:val="1"/>
      <w:numFmt w:val="bullet"/>
      <w:lvlText w:val="•"/>
      <w:lvlJc w:val="left"/>
      <w:pPr>
        <w:tabs>
          <w:tab w:val="num" w:pos="720"/>
        </w:tabs>
        <w:ind w:left="720" w:hanging="360"/>
      </w:pPr>
      <w:rPr>
        <w:rFonts w:ascii="Arial" w:hAnsi="Arial" w:hint="default"/>
      </w:rPr>
    </w:lvl>
    <w:lvl w:ilvl="1" w:tplc="79DEA56A" w:tentative="1">
      <w:start w:val="1"/>
      <w:numFmt w:val="bullet"/>
      <w:lvlText w:val="•"/>
      <w:lvlJc w:val="left"/>
      <w:pPr>
        <w:tabs>
          <w:tab w:val="num" w:pos="1440"/>
        </w:tabs>
        <w:ind w:left="1440" w:hanging="360"/>
      </w:pPr>
      <w:rPr>
        <w:rFonts w:ascii="Arial" w:hAnsi="Arial" w:hint="default"/>
      </w:rPr>
    </w:lvl>
    <w:lvl w:ilvl="2" w:tplc="7250083C" w:tentative="1">
      <w:start w:val="1"/>
      <w:numFmt w:val="bullet"/>
      <w:lvlText w:val="•"/>
      <w:lvlJc w:val="left"/>
      <w:pPr>
        <w:tabs>
          <w:tab w:val="num" w:pos="2160"/>
        </w:tabs>
        <w:ind w:left="2160" w:hanging="360"/>
      </w:pPr>
      <w:rPr>
        <w:rFonts w:ascii="Arial" w:hAnsi="Arial" w:hint="default"/>
      </w:rPr>
    </w:lvl>
    <w:lvl w:ilvl="3" w:tplc="1EF86EB2" w:tentative="1">
      <w:start w:val="1"/>
      <w:numFmt w:val="bullet"/>
      <w:lvlText w:val="•"/>
      <w:lvlJc w:val="left"/>
      <w:pPr>
        <w:tabs>
          <w:tab w:val="num" w:pos="2880"/>
        </w:tabs>
        <w:ind w:left="2880" w:hanging="360"/>
      </w:pPr>
      <w:rPr>
        <w:rFonts w:ascii="Arial" w:hAnsi="Arial" w:hint="default"/>
      </w:rPr>
    </w:lvl>
    <w:lvl w:ilvl="4" w:tplc="131EAE72" w:tentative="1">
      <w:start w:val="1"/>
      <w:numFmt w:val="bullet"/>
      <w:lvlText w:val="•"/>
      <w:lvlJc w:val="left"/>
      <w:pPr>
        <w:tabs>
          <w:tab w:val="num" w:pos="3600"/>
        </w:tabs>
        <w:ind w:left="3600" w:hanging="360"/>
      </w:pPr>
      <w:rPr>
        <w:rFonts w:ascii="Arial" w:hAnsi="Arial" w:hint="default"/>
      </w:rPr>
    </w:lvl>
    <w:lvl w:ilvl="5" w:tplc="C3C86944" w:tentative="1">
      <w:start w:val="1"/>
      <w:numFmt w:val="bullet"/>
      <w:lvlText w:val="•"/>
      <w:lvlJc w:val="left"/>
      <w:pPr>
        <w:tabs>
          <w:tab w:val="num" w:pos="4320"/>
        </w:tabs>
        <w:ind w:left="4320" w:hanging="360"/>
      </w:pPr>
      <w:rPr>
        <w:rFonts w:ascii="Arial" w:hAnsi="Arial" w:hint="default"/>
      </w:rPr>
    </w:lvl>
    <w:lvl w:ilvl="6" w:tplc="F3E8A2B4" w:tentative="1">
      <w:start w:val="1"/>
      <w:numFmt w:val="bullet"/>
      <w:lvlText w:val="•"/>
      <w:lvlJc w:val="left"/>
      <w:pPr>
        <w:tabs>
          <w:tab w:val="num" w:pos="5040"/>
        </w:tabs>
        <w:ind w:left="5040" w:hanging="360"/>
      </w:pPr>
      <w:rPr>
        <w:rFonts w:ascii="Arial" w:hAnsi="Arial" w:hint="default"/>
      </w:rPr>
    </w:lvl>
    <w:lvl w:ilvl="7" w:tplc="628E487A" w:tentative="1">
      <w:start w:val="1"/>
      <w:numFmt w:val="bullet"/>
      <w:lvlText w:val="•"/>
      <w:lvlJc w:val="left"/>
      <w:pPr>
        <w:tabs>
          <w:tab w:val="num" w:pos="5760"/>
        </w:tabs>
        <w:ind w:left="5760" w:hanging="360"/>
      </w:pPr>
      <w:rPr>
        <w:rFonts w:ascii="Arial" w:hAnsi="Arial" w:hint="default"/>
      </w:rPr>
    </w:lvl>
    <w:lvl w:ilvl="8" w:tplc="C68A192A" w:tentative="1">
      <w:start w:val="1"/>
      <w:numFmt w:val="bullet"/>
      <w:lvlText w:val="•"/>
      <w:lvlJc w:val="left"/>
      <w:pPr>
        <w:tabs>
          <w:tab w:val="num" w:pos="6480"/>
        </w:tabs>
        <w:ind w:left="6480" w:hanging="360"/>
      </w:pPr>
      <w:rPr>
        <w:rFonts w:ascii="Arial" w:hAnsi="Arial" w:hint="default"/>
      </w:rPr>
    </w:lvl>
  </w:abstractNum>
  <w:abstractNum w:abstractNumId="3">
    <w:nsid w:val="46BD7F70"/>
    <w:multiLevelType w:val="hybridMultilevel"/>
    <w:tmpl w:val="8700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C01397"/>
    <w:multiLevelType w:val="hybridMultilevel"/>
    <w:tmpl w:val="5DEA7792"/>
    <w:lvl w:ilvl="0" w:tplc="C282AFF8">
      <w:start w:val="1"/>
      <w:numFmt w:val="bullet"/>
      <w:lvlText w:val="•"/>
      <w:lvlJc w:val="left"/>
      <w:pPr>
        <w:tabs>
          <w:tab w:val="num" w:pos="720"/>
        </w:tabs>
        <w:ind w:left="720" w:hanging="360"/>
      </w:pPr>
      <w:rPr>
        <w:rFonts w:ascii="Arial" w:hAnsi="Arial" w:hint="default"/>
      </w:rPr>
    </w:lvl>
    <w:lvl w:ilvl="1" w:tplc="541C4AF4" w:tentative="1">
      <w:start w:val="1"/>
      <w:numFmt w:val="bullet"/>
      <w:lvlText w:val="•"/>
      <w:lvlJc w:val="left"/>
      <w:pPr>
        <w:tabs>
          <w:tab w:val="num" w:pos="1440"/>
        </w:tabs>
        <w:ind w:left="1440" w:hanging="360"/>
      </w:pPr>
      <w:rPr>
        <w:rFonts w:ascii="Arial" w:hAnsi="Arial" w:hint="default"/>
      </w:rPr>
    </w:lvl>
    <w:lvl w:ilvl="2" w:tplc="ECB697D8" w:tentative="1">
      <w:start w:val="1"/>
      <w:numFmt w:val="bullet"/>
      <w:lvlText w:val="•"/>
      <w:lvlJc w:val="left"/>
      <w:pPr>
        <w:tabs>
          <w:tab w:val="num" w:pos="2160"/>
        </w:tabs>
        <w:ind w:left="2160" w:hanging="360"/>
      </w:pPr>
      <w:rPr>
        <w:rFonts w:ascii="Arial" w:hAnsi="Arial" w:hint="default"/>
      </w:rPr>
    </w:lvl>
    <w:lvl w:ilvl="3" w:tplc="DD128F04" w:tentative="1">
      <w:start w:val="1"/>
      <w:numFmt w:val="bullet"/>
      <w:lvlText w:val="•"/>
      <w:lvlJc w:val="left"/>
      <w:pPr>
        <w:tabs>
          <w:tab w:val="num" w:pos="2880"/>
        </w:tabs>
        <w:ind w:left="2880" w:hanging="360"/>
      </w:pPr>
      <w:rPr>
        <w:rFonts w:ascii="Arial" w:hAnsi="Arial" w:hint="default"/>
      </w:rPr>
    </w:lvl>
    <w:lvl w:ilvl="4" w:tplc="F92A75F6" w:tentative="1">
      <w:start w:val="1"/>
      <w:numFmt w:val="bullet"/>
      <w:lvlText w:val="•"/>
      <w:lvlJc w:val="left"/>
      <w:pPr>
        <w:tabs>
          <w:tab w:val="num" w:pos="3600"/>
        </w:tabs>
        <w:ind w:left="3600" w:hanging="360"/>
      </w:pPr>
      <w:rPr>
        <w:rFonts w:ascii="Arial" w:hAnsi="Arial" w:hint="default"/>
      </w:rPr>
    </w:lvl>
    <w:lvl w:ilvl="5" w:tplc="BD84FE02" w:tentative="1">
      <w:start w:val="1"/>
      <w:numFmt w:val="bullet"/>
      <w:lvlText w:val="•"/>
      <w:lvlJc w:val="left"/>
      <w:pPr>
        <w:tabs>
          <w:tab w:val="num" w:pos="4320"/>
        </w:tabs>
        <w:ind w:left="4320" w:hanging="360"/>
      </w:pPr>
      <w:rPr>
        <w:rFonts w:ascii="Arial" w:hAnsi="Arial" w:hint="default"/>
      </w:rPr>
    </w:lvl>
    <w:lvl w:ilvl="6" w:tplc="2AD22684" w:tentative="1">
      <w:start w:val="1"/>
      <w:numFmt w:val="bullet"/>
      <w:lvlText w:val="•"/>
      <w:lvlJc w:val="left"/>
      <w:pPr>
        <w:tabs>
          <w:tab w:val="num" w:pos="5040"/>
        </w:tabs>
        <w:ind w:left="5040" w:hanging="360"/>
      </w:pPr>
      <w:rPr>
        <w:rFonts w:ascii="Arial" w:hAnsi="Arial" w:hint="default"/>
      </w:rPr>
    </w:lvl>
    <w:lvl w:ilvl="7" w:tplc="17B847A2" w:tentative="1">
      <w:start w:val="1"/>
      <w:numFmt w:val="bullet"/>
      <w:lvlText w:val="•"/>
      <w:lvlJc w:val="left"/>
      <w:pPr>
        <w:tabs>
          <w:tab w:val="num" w:pos="5760"/>
        </w:tabs>
        <w:ind w:left="5760" w:hanging="360"/>
      </w:pPr>
      <w:rPr>
        <w:rFonts w:ascii="Arial" w:hAnsi="Arial" w:hint="default"/>
      </w:rPr>
    </w:lvl>
    <w:lvl w:ilvl="8" w:tplc="6834F278" w:tentative="1">
      <w:start w:val="1"/>
      <w:numFmt w:val="bullet"/>
      <w:lvlText w:val="•"/>
      <w:lvlJc w:val="left"/>
      <w:pPr>
        <w:tabs>
          <w:tab w:val="num" w:pos="6480"/>
        </w:tabs>
        <w:ind w:left="6480" w:hanging="360"/>
      </w:pPr>
      <w:rPr>
        <w:rFonts w:ascii="Arial" w:hAnsi="Arial" w:hint="default"/>
      </w:rPr>
    </w:lvl>
  </w:abstractNum>
  <w:abstractNum w:abstractNumId="5">
    <w:nsid w:val="7F750BE1"/>
    <w:multiLevelType w:val="hybridMultilevel"/>
    <w:tmpl w:val="D17A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932FC8"/>
    <w:rsid w:val="001918FA"/>
    <w:rsid w:val="00205A5D"/>
    <w:rsid w:val="00212017"/>
    <w:rsid w:val="002937D1"/>
    <w:rsid w:val="002A2E2A"/>
    <w:rsid w:val="00305278"/>
    <w:rsid w:val="00815B89"/>
    <w:rsid w:val="00827CFC"/>
    <w:rsid w:val="00932FC8"/>
    <w:rsid w:val="00975A70"/>
    <w:rsid w:val="00A633B3"/>
    <w:rsid w:val="00FA43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FC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FC8"/>
    <w:pPr>
      <w:ind w:left="720"/>
      <w:contextualSpacing/>
    </w:pPr>
  </w:style>
  <w:style w:type="paragraph" w:styleId="FootnoteText">
    <w:name w:val="footnote text"/>
    <w:basedOn w:val="Normal"/>
    <w:link w:val="FootnoteTextChar"/>
    <w:uiPriority w:val="99"/>
    <w:semiHidden/>
    <w:unhideWhenUsed/>
    <w:rsid w:val="00932F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2FC8"/>
    <w:rPr>
      <w:sz w:val="20"/>
      <w:szCs w:val="20"/>
    </w:rPr>
  </w:style>
  <w:style w:type="character" w:styleId="FootnoteReference">
    <w:name w:val="footnote reference"/>
    <w:basedOn w:val="DefaultParagraphFont"/>
    <w:uiPriority w:val="99"/>
    <w:semiHidden/>
    <w:unhideWhenUsed/>
    <w:rsid w:val="00932FC8"/>
    <w:rPr>
      <w:vertAlign w:val="superscript"/>
    </w:rPr>
  </w:style>
  <w:style w:type="paragraph" w:customStyle="1" w:styleId="EndNoteBibliography">
    <w:name w:val="EndNote Bibliography"/>
    <w:basedOn w:val="Normal"/>
    <w:link w:val="EndNoteBibliographyChar"/>
    <w:rsid w:val="00932FC8"/>
    <w:pPr>
      <w:spacing w:after="160"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932FC8"/>
    <w:rPr>
      <w:rFonts w:ascii="Calibri" w:hAnsi="Calibri" w:cs="Calibri"/>
      <w:noProof/>
    </w:rPr>
  </w:style>
  <w:style w:type="paragraph" w:styleId="BalloonText">
    <w:name w:val="Balloon Text"/>
    <w:basedOn w:val="Normal"/>
    <w:link w:val="BalloonTextChar"/>
    <w:uiPriority w:val="99"/>
    <w:semiHidden/>
    <w:unhideWhenUsed/>
    <w:rsid w:val="00293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D1"/>
    <w:rPr>
      <w:rFonts w:ascii="Tahoma" w:hAnsi="Tahoma" w:cs="Tahoma"/>
      <w:sz w:val="16"/>
      <w:szCs w:val="16"/>
    </w:rPr>
  </w:style>
  <w:style w:type="table" w:styleId="TableGrid">
    <w:name w:val="Table Grid"/>
    <w:basedOn w:val="TableNormal"/>
    <w:uiPriority w:val="59"/>
    <w:rsid w:val="002A2E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6391480">
      <w:bodyDiv w:val="1"/>
      <w:marLeft w:val="0"/>
      <w:marRight w:val="0"/>
      <w:marTop w:val="0"/>
      <w:marBottom w:val="0"/>
      <w:divBdr>
        <w:top w:val="none" w:sz="0" w:space="0" w:color="auto"/>
        <w:left w:val="none" w:sz="0" w:space="0" w:color="auto"/>
        <w:bottom w:val="none" w:sz="0" w:space="0" w:color="auto"/>
        <w:right w:val="none" w:sz="0" w:space="0" w:color="auto"/>
      </w:divBdr>
    </w:div>
    <w:div w:id="466433493">
      <w:bodyDiv w:val="1"/>
      <w:marLeft w:val="0"/>
      <w:marRight w:val="0"/>
      <w:marTop w:val="0"/>
      <w:marBottom w:val="0"/>
      <w:divBdr>
        <w:top w:val="none" w:sz="0" w:space="0" w:color="auto"/>
        <w:left w:val="none" w:sz="0" w:space="0" w:color="auto"/>
        <w:bottom w:val="none" w:sz="0" w:space="0" w:color="auto"/>
        <w:right w:val="none" w:sz="0" w:space="0" w:color="auto"/>
      </w:divBdr>
    </w:div>
    <w:div w:id="740252142">
      <w:bodyDiv w:val="1"/>
      <w:marLeft w:val="0"/>
      <w:marRight w:val="0"/>
      <w:marTop w:val="0"/>
      <w:marBottom w:val="0"/>
      <w:divBdr>
        <w:top w:val="none" w:sz="0" w:space="0" w:color="auto"/>
        <w:left w:val="none" w:sz="0" w:space="0" w:color="auto"/>
        <w:bottom w:val="none" w:sz="0" w:space="0" w:color="auto"/>
        <w:right w:val="none" w:sz="0" w:space="0" w:color="auto"/>
      </w:divBdr>
      <w:divsChild>
        <w:div w:id="1130779603">
          <w:marLeft w:val="475"/>
          <w:marRight w:val="0"/>
          <w:marTop w:val="0"/>
          <w:marBottom w:val="0"/>
          <w:divBdr>
            <w:top w:val="none" w:sz="0" w:space="0" w:color="auto"/>
            <w:left w:val="none" w:sz="0" w:space="0" w:color="auto"/>
            <w:bottom w:val="none" w:sz="0" w:space="0" w:color="auto"/>
            <w:right w:val="none" w:sz="0" w:space="0" w:color="auto"/>
          </w:divBdr>
        </w:div>
        <w:div w:id="1754861640">
          <w:marLeft w:val="475"/>
          <w:marRight w:val="965"/>
          <w:marTop w:val="101"/>
          <w:marBottom w:val="0"/>
          <w:divBdr>
            <w:top w:val="none" w:sz="0" w:space="0" w:color="auto"/>
            <w:left w:val="none" w:sz="0" w:space="0" w:color="auto"/>
            <w:bottom w:val="none" w:sz="0" w:space="0" w:color="auto"/>
            <w:right w:val="none" w:sz="0" w:space="0" w:color="auto"/>
          </w:divBdr>
        </w:div>
        <w:div w:id="659507131">
          <w:marLeft w:val="475"/>
          <w:marRight w:val="360"/>
          <w:marTop w:val="81"/>
          <w:marBottom w:val="0"/>
          <w:divBdr>
            <w:top w:val="none" w:sz="0" w:space="0" w:color="auto"/>
            <w:left w:val="none" w:sz="0" w:space="0" w:color="auto"/>
            <w:bottom w:val="none" w:sz="0" w:space="0" w:color="auto"/>
            <w:right w:val="none" w:sz="0" w:space="0" w:color="auto"/>
          </w:divBdr>
        </w:div>
        <w:div w:id="1583487689">
          <w:marLeft w:val="475"/>
          <w:marRight w:val="14"/>
          <w:marTop w:val="101"/>
          <w:marBottom w:val="0"/>
          <w:divBdr>
            <w:top w:val="none" w:sz="0" w:space="0" w:color="auto"/>
            <w:left w:val="none" w:sz="0" w:space="0" w:color="auto"/>
            <w:bottom w:val="none" w:sz="0" w:space="0" w:color="auto"/>
            <w:right w:val="none" w:sz="0" w:space="0" w:color="auto"/>
          </w:divBdr>
        </w:div>
        <w:div w:id="261845233">
          <w:marLeft w:val="475"/>
          <w:marRight w:val="590"/>
          <w:marTop w:val="96"/>
          <w:marBottom w:val="0"/>
          <w:divBdr>
            <w:top w:val="none" w:sz="0" w:space="0" w:color="auto"/>
            <w:left w:val="none" w:sz="0" w:space="0" w:color="auto"/>
            <w:bottom w:val="none" w:sz="0" w:space="0" w:color="auto"/>
            <w:right w:val="none" w:sz="0" w:space="0" w:color="auto"/>
          </w:divBdr>
        </w:div>
        <w:div w:id="2070112508">
          <w:marLeft w:val="475"/>
          <w:marRight w:val="29"/>
          <w:marTop w:val="101"/>
          <w:marBottom w:val="0"/>
          <w:divBdr>
            <w:top w:val="none" w:sz="0" w:space="0" w:color="auto"/>
            <w:left w:val="none" w:sz="0" w:space="0" w:color="auto"/>
            <w:bottom w:val="none" w:sz="0" w:space="0" w:color="auto"/>
            <w:right w:val="none" w:sz="0" w:space="0" w:color="auto"/>
          </w:divBdr>
        </w:div>
      </w:divsChild>
    </w:div>
    <w:div w:id="915438600">
      <w:bodyDiv w:val="1"/>
      <w:marLeft w:val="0"/>
      <w:marRight w:val="0"/>
      <w:marTop w:val="0"/>
      <w:marBottom w:val="0"/>
      <w:divBdr>
        <w:top w:val="none" w:sz="0" w:space="0" w:color="auto"/>
        <w:left w:val="none" w:sz="0" w:space="0" w:color="auto"/>
        <w:bottom w:val="none" w:sz="0" w:space="0" w:color="auto"/>
        <w:right w:val="none" w:sz="0" w:space="0" w:color="auto"/>
      </w:divBdr>
      <w:divsChild>
        <w:div w:id="1551186849">
          <w:marLeft w:val="547"/>
          <w:marRight w:val="0"/>
          <w:marTop w:val="134"/>
          <w:marBottom w:val="0"/>
          <w:divBdr>
            <w:top w:val="none" w:sz="0" w:space="0" w:color="auto"/>
            <w:left w:val="none" w:sz="0" w:space="0" w:color="auto"/>
            <w:bottom w:val="none" w:sz="0" w:space="0" w:color="auto"/>
            <w:right w:val="none" w:sz="0" w:space="0" w:color="auto"/>
          </w:divBdr>
        </w:div>
        <w:div w:id="908422444">
          <w:marLeft w:val="547"/>
          <w:marRight w:val="0"/>
          <w:marTop w:val="134"/>
          <w:marBottom w:val="0"/>
          <w:divBdr>
            <w:top w:val="none" w:sz="0" w:space="0" w:color="auto"/>
            <w:left w:val="none" w:sz="0" w:space="0" w:color="auto"/>
            <w:bottom w:val="none" w:sz="0" w:space="0" w:color="auto"/>
            <w:right w:val="none" w:sz="0" w:space="0" w:color="auto"/>
          </w:divBdr>
        </w:div>
        <w:div w:id="1501197933">
          <w:marLeft w:val="547"/>
          <w:marRight w:val="0"/>
          <w:marTop w:val="134"/>
          <w:marBottom w:val="0"/>
          <w:divBdr>
            <w:top w:val="none" w:sz="0" w:space="0" w:color="auto"/>
            <w:left w:val="none" w:sz="0" w:space="0" w:color="auto"/>
            <w:bottom w:val="none" w:sz="0" w:space="0" w:color="auto"/>
            <w:right w:val="none" w:sz="0" w:space="0" w:color="auto"/>
          </w:divBdr>
        </w:div>
        <w:div w:id="1912351081">
          <w:marLeft w:val="547"/>
          <w:marRight w:val="0"/>
          <w:marTop w:val="134"/>
          <w:marBottom w:val="0"/>
          <w:divBdr>
            <w:top w:val="none" w:sz="0" w:space="0" w:color="auto"/>
            <w:left w:val="none" w:sz="0" w:space="0" w:color="auto"/>
            <w:bottom w:val="none" w:sz="0" w:space="0" w:color="auto"/>
            <w:right w:val="none" w:sz="0" w:space="0" w:color="auto"/>
          </w:divBdr>
        </w:div>
      </w:divsChild>
    </w:div>
    <w:div w:id="139566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2019-11-14T10:41:00Z</dcterms:created>
  <dcterms:modified xsi:type="dcterms:W3CDTF">2019-11-14T11:15:00Z</dcterms:modified>
</cp:coreProperties>
</file>